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85B" w:rsidRDefault="0062131B" w:rsidP="0075185B">
      <w:pPr>
        <w:jc w:val="center"/>
        <w:rPr>
          <w:rFonts w:cstheme="minorHAnsi"/>
          <w:b/>
          <w:sz w:val="24"/>
          <w:szCs w:val="24"/>
          <w:u w:val="single"/>
        </w:rPr>
      </w:pPr>
      <w:r w:rsidRPr="00DE454C">
        <w:rPr>
          <w:rFonts w:cstheme="minorHAnsi"/>
          <w:b/>
          <w:sz w:val="24"/>
          <w:szCs w:val="24"/>
          <w:u w:val="single"/>
        </w:rPr>
        <w:t>REQUEST FOR RECONSIDERATION</w:t>
      </w:r>
      <w:r w:rsidR="006B178B">
        <w:rPr>
          <w:rFonts w:cstheme="minorHAnsi"/>
          <w:b/>
          <w:sz w:val="24"/>
          <w:szCs w:val="24"/>
        </w:rPr>
        <w:t xml:space="preserve">                                                                                                           </w:t>
      </w:r>
      <w:r w:rsidR="006B178B">
        <w:rPr>
          <w:rFonts w:cstheme="minorHAnsi"/>
          <w:b/>
          <w:sz w:val="24"/>
          <w:szCs w:val="24"/>
          <w:u w:val="single"/>
        </w:rPr>
        <w:t>APPENDIX</w:t>
      </w:r>
    </w:p>
    <w:p w:rsidR="006B178B" w:rsidRPr="006B178B" w:rsidRDefault="006B178B" w:rsidP="0075185B">
      <w:pPr>
        <w:jc w:val="center"/>
        <w:rPr>
          <w:rFonts w:cstheme="minorHAnsi"/>
          <w:b/>
          <w:sz w:val="24"/>
          <w:szCs w:val="24"/>
          <w:u w:val="single"/>
        </w:rPr>
      </w:pPr>
    </w:p>
    <w:p w:rsidR="001F405F" w:rsidRPr="006B178B" w:rsidRDefault="0062131B" w:rsidP="000A4E91">
      <w:pPr>
        <w:pStyle w:val="ListParagraph"/>
        <w:numPr>
          <w:ilvl w:val="0"/>
          <w:numId w:val="1"/>
        </w:numPr>
        <w:ind w:hanging="720"/>
        <w:rPr>
          <w:rFonts w:ascii="Times New Roman" w:hAnsi="Times New Roman" w:cs="Times New Roman"/>
          <w:sz w:val="24"/>
          <w:szCs w:val="24"/>
        </w:rPr>
      </w:pPr>
      <w:r w:rsidRPr="006B178B">
        <w:rPr>
          <w:rFonts w:ascii="Times New Roman" w:hAnsi="Times New Roman" w:cs="Times New Roman"/>
          <w:sz w:val="24"/>
          <w:szCs w:val="24"/>
        </w:rPr>
        <w:t xml:space="preserve">The </w:t>
      </w:r>
      <w:r w:rsidR="00FB6CB4" w:rsidRPr="006B178B">
        <w:rPr>
          <w:rFonts w:ascii="Times New Roman" w:hAnsi="Times New Roman" w:cs="Times New Roman"/>
          <w:sz w:val="24"/>
          <w:szCs w:val="24"/>
        </w:rPr>
        <w:t>Vice Chair (</w:t>
      </w:r>
      <w:r w:rsidRPr="006B178B">
        <w:rPr>
          <w:rFonts w:ascii="Times New Roman" w:hAnsi="Times New Roman" w:cs="Times New Roman"/>
          <w:sz w:val="24"/>
          <w:szCs w:val="24"/>
        </w:rPr>
        <w:t>VC</w:t>
      </w:r>
      <w:r w:rsidR="00FB6CB4" w:rsidRPr="006B178B">
        <w:rPr>
          <w:rFonts w:ascii="Times New Roman" w:hAnsi="Times New Roman" w:cs="Times New Roman"/>
          <w:sz w:val="24"/>
          <w:szCs w:val="24"/>
        </w:rPr>
        <w:t>)</w:t>
      </w:r>
      <w:r w:rsidRPr="006B178B">
        <w:rPr>
          <w:rFonts w:ascii="Times New Roman" w:hAnsi="Times New Roman" w:cs="Times New Roman"/>
          <w:sz w:val="24"/>
          <w:szCs w:val="24"/>
        </w:rPr>
        <w:t xml:space="preserve"> has </w:t>
      </w:r>
      <w:r w:rsidR="00B82F59" w:rsidRPr="006B178B">
        <w:rPr>
          <w:rFonts w:ascii="Times New Roman" w:hAnsi="Times New Roman" w:cs="Times New Roman"/>
          <w:sz w:val="24"/>
          <w:szCs w:val="24"/>
        </w:rPr>
        <w:t xml:space="preserve">been </w:t>
      </w:r>
      <w:r w:rsidRPr="006B178B">
        <w:rPr>
          <w:rFonts w:ascii="Times New Roman" w:hAnsi="Times New Roman" w:cs="Times New Roman"/>
          <w:sz w:val="24"/>
          <w:szCs w:val="24"/>
        </w:rPr>
        <w:t>stating all through the hearing process which spanned 5 plus years that he is yet to read through all the material</w:t>
      </w:r>
      <w:r w:rsidR="00FB6CB4" w:rsidRPr="006B178B">
        <w:rPr>
          <w:rFonts w:ascii="Times New Roman" w:hAnsi="Times New Roman" w:cs="Times New Roman"/>
          <w:sz w:val="24"/>
          <w:szCs w:val="24"/>
        </w:rPr>
        <w:t xml:space="preserve">s and disclosure. The applicant, Michael Jack (Jack) </w:t>
      </w:r>
      <w:r w:rsidRPr="006B178B">
        <w:rPr>
          <w:rFonts w:ascii="Times New Roman" w:hAnsi="Times New Roman" w:cs="Times New Roman"/>
          <w:sz w:val="24"/>
          <w:szCs w:val="24"/>
        </w:rPr>
        <w:t xml:space="preserve">believes that his case was outside of the capabilities of the seized VC based on those comments. The applicant, in reading the decision is alarmed and concerned as to why the VC left out or failed to take into account </w:t>
      </w:r>
      <w:r w:rsidR="00C6675C" w:rsidRPr="006B178B">
        <w:rPr>
          <w:rFonts w:ascii="Times New Roman" w:hAnsi="Times New Roman" w:cs="Times New Roman"/>
          <w:sz w:val="24"/>
          <w:szCs w:val="24"/>
        </w:rPr>
        <w:t>numerous</w:t>
      </w:r>
      <w:r w:rsidRPr="006B178B">
        <w:rPr>
          <w:rFonts w:ascii="Times New Roman" w:hAnsi="Times New Roman" w:cs="Times New Roman"/>
          <w:sz w:val="24"/>
          <w:szCs w:val="24"/>
        </w:rPr>
        <w:t xml:space="preserve"> documentary evidence </w:t>
      </w:r>
      <w:r w:rsidR="00C6675C" w:rsidRPr="006B178B">
        <w:rPr>
          <w:rFonts w:ascii="Times New Roman" w:hAnsi="Times New Roman" w:cs="Times New Roman"/>
          <w:sz w:val="24"/>
          <w:szCs w:val="24"/>
        </w:rPr>
        <w:t xml:space="preserve">as well as testimonies </w:t>
      </w:r>
      <w:r w:rsidRPr="006B178B">
        <w:rPr>
          <w:rFonts w:ascii="Times New Roman" w:hAnsi="Times New Roman" w:cs="Times New Roman"/>
          <w:sz w:val="24"/>
          <w:szCs w:val="24"/>
        </w:rPr>
        <w:t>that established a prima facie case supporting the application and other documents that conclusively establish support of the applications</w:t>
      </w:r>
      <w:r w:rsidR="0064350A" w:rsidRPr="006B178B">
        <w:rPr>
          <w:rFonts w:ascii="Times New Roman" w:hAnsi="Times New Roman" w:cs="Times New Roman"/>
          <w:sz w:val="24"/>
          <w:szCs w:val="24"/>
        </w:rPr>
        <w:t>-</w:t>
      </w:r>
      <w:r w:rsidRPr="006B178B">
        <w:rPr>
          <w:rFonts w:ascii="Times New Roman" w:hAnsi="Times New Roman" w:cs="Times New Roman"/>
          <w:sz w:val="24"/>
          <w:szCs w:val="24"/>
        </w:rPr>
        <w:t xml:space="preserve">kindly refer to </w:t>
      </w:r>
      <w:r w:rsidR="00CC24C2" w:rsidRPr="006B178B">
        <w:rPr>
          <w:rFonts w:ascii="Times New Roman" w:hAnsi="Times New Roman" w:cs="Times New Roman"/>
          <w:sz w:val="24"/>
          <w:szCs w:val="24"/>
        </w:rPr>
        <w:t xml:space="preserve">the </w:t>
      </w:r>
      <w:r w:rsidRPr="006B178B">
        <w:rPr>
          <w:rFonts w:ascii="Times New Roman" w:hAnsi="Times New Roman" w:cs="Times New Roman"/>
          <w:sz w:val="24"/>
          <w:szCs w:val="24"/>
        </w:rPr>
        <w:t>closing submissions</w:t>
      </w:r>
      <w:r w:rsidR="00CC24C2" w:rsidRPr="006B178B">
        <w:rPr>
          <w:rFonts w:ascii="Times New Roman" w:hAnsi="Times New Roman" w:cs="Times New Roman"/>
          <w:sz w:val="24"/>
          <w:szCs w:val="24"/>
        </w:rPr>
        <w:t xml:space="preserve"> of the applicant</w:t>
      </w:r>
      <w:r w:rsidRPr="006B178B">
        <w:rPr>
          <w:rFonts w:ascii="Times New Roman" w:hAnsi="Times New Roman" w:cs="Times New Roman"/>
          <w:sz w:val="24"/>
          <w:szCs w:val="24"/>
        </w:rPr>
        <w:t>.</w:t>
      </w:r>
      <w:r w:rsidRPr="006B178B">
        <w:rPr>
          <w:rStyle w:val="FootnoteReference"/>
          <w:rFonts w:ascii="Times New Roman" w:hAnsi="Times New Roman" w:cs="Times New Roman"/>
          <w:sz w:val="24"/>
          <w:szCs w:val="24"/>
        </w:rPr>
        <w:footnoteReference w:id="1"/>
      </w:r>
    </w:p>
    <w:p w:rsidR="00B64C6D" w:rsidRPr="00DE454C" w:rsidRDefault="00B64C6D" w:rsidP="000A4E91">
      <w:pPr>
        <w:pStyle w:val="ListParagraph"/>
        <w:ind w:hanging="720"/>
        <w:rPr>
          <w:rFonts w:cstheme="minorHAnsi"/>
          <w:sz w:val="24"/>
          <w:szCs w:val="24"/>
        </w:rPr>
      </w:pPr>
    </w:p>
    <w:p w:rsidR="00C77D18" w:rsidRPr="006B178B" w:rsidRDefault="0062131B" w:rsidP="000A4E91">
      <w:pPr>
        <w:pStyle w:val="ListParagraph"/>
        <w:numPr>
          <w:ilvl w:val="0"/>
          <w:numId w:val="1"/>
        </w:numPr>
        <w:ind w:hanging="720"/>
        <w:rPr>
          <w:rFonts w:ascii="Times New Roman" w:hAnsi="Times New Roman" w:cs="Times New Roman"/>
          <w:sz w:val="24"/>
          <w:szCs w:val="24"/>
        </w:rPr>
      </w:pPr>
      <w:proofErr w:type="spellStart"/>
      <w:r w:rsidRPr="006B178B">
        <w:rPr>
          <w:rFonts w:ascii="Times New Roman" w:hAnsi="Times New Roman" w:cs="Times New Roman"/>
          <w:i/>
          <w:sz w:val="24"/>
          <w:szCs w:val="24"/>
        </w:rPr>
        <w:t>Audmax</w:t>
      </w:r>
      <w:proofErr w:type="spellEnd"/>
      <w:r w:rsidRPr="006B178B">
        <w:rPr>
          <w:rFonts w:ascii="Times New Roman" w:hAnsi="Times New Roman" w:cs="Times New Roman"/>
          <w:i/>
          <w:sz w:val="24"/>
          <w:szCs w:val="24"/>
        </w:rPr>
        <w:t xml:space="preserve"> Inc. v Ontario (Human Rights Tribunal)</w:t>
      </w:r>
      <w:r w:rsidRPr="006B178B">
        <w:rPr>
          <w:rFonts w:ascii="Times New Roman" w:hAnsi="Times New Roman" w:cs="Times New Roman"/>
          <w:sz w:val="24"/>
          <w:szCs w:val="24"/>
        </w:rPr>
        <w:t xml:space="preserve"> </w:t>
      </w:r>
      <w:r w:rsidR="002A3A49" w:rsidRPr="006B178B">
        <w:rPr>
          <w:rFonts w:ascii="Times New Roman" w:hAnsi="Times New Roman" w:cs="Times New Roman"/>
          <w:sz w:val="24"/>
          <w:szCs w:val="24"/>
        </w:rPr>
        <w:t>was a judicial review of the</w:t>
      </w:r>
      <w:r w:rsidRPr="006B178B">
        <w:rPr>
          <w:rFonts w:ascii="Times New Roman" w:hAnsi="Times New Roman" w:cs="Times New Roman"/>
          <w:sz w:val="24"/>
          <w:szCs w:val="24"/>
        </w:rPr>
        <w:t xml:space="preserve"> HRTO decision</w:t>
      </w:r>
      <w:r w:rsidR="0091769E" w:rsidRPr="006B178B">
        <w:rPr>
          <w:rFonts w:ascii="Times New Roman" w:hAnsi="Times New Roman" w:cs="Times New Roman"/>
          <w:sz w:val="24"/>
          <w:szCs w:val="24"/>
        </w:rPr>
        <w:t xml:space="preserve"> </w:t>
      </w:r>
      <w:r w:rsidRPr="006B178B">
        <w:rPr>
          <w:rFonts w:ascii="Times New Roman" w:hAnsi="Times New Roman" w:cs="Times New Roman"/>
          <w:sz w:val="24"/>
          <w:szCs w:val="24"/>
        </w:rPr>
        <w:t>brought on both substantive and procedural fairness grounds. This case illustrates that</w:t>
      </w:r>
      <w:r w:rsidR="0091769E" w:rsidRPr="006B178B">
        <w:rPr>
          <w:rFonts w:ascii="Times New Roman" w:hAnsi="Times New Roman" w:cs="Times New Roman"/>
          <w:sz w:val="24"/>
          <w:szCs w:val="24"/>
        </w:rPr>
        <w:t xml:space="preserve"> </w:t>
      </w:r>
      <w:r w:rsidR="002A3A49" w:rsidRPr="006B178B">
        <w:rPr>
          <w:rFonts w:ascii="Times New Roman" w:hAnsi="Times New Roman" w:cs="Times New Roman"/>
          <w:sz w:val="24"/>
          <w:szCs w:val="24"/>
        </w:rPr>
        <w:t>deficiencies in the</w:t>
      </w:r>
      <w:r w:rsidRPr="006B178B">
        <w:rPr>
          <w:rFonts w:ascii="Times New Roman" w:hAnsi="Times New Roman" w:cs="Times New Roman"/>
          <w:sz w:val="24"/>
          <w:szCs w:val="24"/>
        </w:rPr>
        <w:t xml:space="preserve"> Tribunal’s written reasons can lead to a finding that the decision itself was unreasonable, as well as a finding that the procedure afforded to the parties was unfair.</w:t>
      </w:r>
      <w:r w:rsidRPr="006B178B">
        <w:rPr>
          <w:rStyle w:val="FootnoteReference"/>
          <w:rFonts w:ascii="Times New Roman" w:hAnsi="Times New Roman" w:cs="Times New Roman"/>
          <w:sz w:val="24"/>
          <w:szCs w:val="24"/>
        </w:rPr>
        <w:footnoteReference w:id="2"/>
      </w:r>
    </w:p>
    <w:p w:rsidR="00B64C6D" w:rsidRPr="006B178B" w:rsidRDefault="00B64C6D" w:rsidP="000A4E91">
      <w:pPr>
        <w:pStyle w:val="ListParagraph"/>
        <w:ind w:hanging="720"/>
        <w:rPr>
          <w:rFonts w:ascii="Times New Roman" w:hAnsi="Times New Roman" w:cs="Times New Roman"/>
          <w:sz w:val="24"/>
          <w:szCs w:val="24"/>
        </w:rPr>
      </w:pPr>
    </w:p>
    <w:p w:rsidR="00836416" w:rsidRPr="006B178B" w:rsidRDefault="0062131B" w:rsidP="000A4E91">
      <w:pPr>
        <w:pStyle w:val="ListParagraph"/>
        <w:numPr>
          <w:ilvl w:val="0"/>
          <w:numId w:val="1"/>
        </w:numPr>
        <w:ind w:hanging="720"/>
        <w:rPr>
          <w:rFonts w:ascii="Times New Roman" w:hAnsi="Times New Roman" w:cs="Times New Roman"/>
          <w:sz w:val="24"/>
          <w:szCs w:val="24"/>
        </w:rPr>
      </w:pPr>
      <w:r w:rsidRPr="006B178B">
        <w:rPr>
          <w:rFonts w:ascii="Times New Roman" w:hAnsi="Times New Roman" w:cs="Times New Roman"/>
          <w:sz w:val="24"/>
          <w:szCs w:val="24"/>
        </w:rPr>
        <w:t>According to the Divisional Court, a human rights applicant must establish a causal nexus between the disadvantage experienced by the applicant and an arbitrary distinction based on a prohibited ground of discrimination. The Divisional Court also confirmed that discrimination can be established in the absence of an in</w:t>
      </w:r>
      <w:r w:rsidR="0091769E" w:rsidRPr="006B178B">
        <w:rPr>
          <w:rFonts w:ascii="Times New Roman" w:hAnsi="Times New Roman" w:cs="Times New Roman"/>
          <w:sz w:val="24"/>
          <w:szCs w:val="24"/>
        </w:rPr>
        <w:t xml:space="preserve">tent or motive to discriminate, </w:t>
      </w:r>
      <w:r w:rsidRPr="006B178B">
        <w:rPr>
          <w:rFonts w:ascii="Times New Roman" w:hAnsi="Times New Roman" w:cs="Times New Roman"/>
          <w:sz w:val="24"/>
          <w:szCs w:val="24"/>
        </w:rPr>
        <w:t>however, more is required than “mere speculation” as to the existence of a discriminatory bias on the part of the respondent.</w:t>
      </w:r>
    </w:p>
    <w:p w:rsidR="00C77D18" w:rsidRPr="006B178B" w:rsidRDefault="0062131B" w:rsidP="000A4E91">
      <w:pPr>
        <w:rPr>
          <w:rFonts w:ascii="Times New Roman" w:hAnsi="Times New Roman" w:cs="Times New Roman"/>
          <w:b/>
          <w:sz w:val="24"/>
          <w:szCs w:val="24"/>
          <w:u w:val="single"/>
        </w:rPr>
      </w:pPr>
      <w:r w:rsidRPr="006B178B">
        <w:rPr>
          <w:rFonts w:ascii="Times New Roman" w:hAnsi="Times New Roman" w:cs="Times New Roman"/>
          <w:b/>
          <w:sz w:val="24"/>
          <w:szCs w:val="24"/>
          <w:u w:val="single"/>
        </w:rPr>
        <w:t>Patently Unreasonable</w:t>
      </w:r>
      <w:r w:rsidR="00EA4423" w:rsidRPr="006B178B">
        <w:rPr>
          <w:rFonts w:ascii="Times New Roman" w:hAnsi="Times New Roman" w:cs="Times New Roman"/>
          <w:b/>
          <w:sz w:val="24"/>
          <w:szCs w:val="24"/>
          <w:u w:val="single"/>
        </w:rPr>
        <w:t xml:space="preserve"> – Associating with </w:t>
      </w:r>
      <w:r w:rsidR="0046522E" w:rsidRPr="006B178B">
        <w:rPr>
          <w:rFonts w:ascii="Times New Roman" w:hAnsi="Times New Roman" w:cs="Times New Roman"/>
          <w:b/>
          <w:sz w:val="24"/>
          <w:szCs w:val="24"/>
          <w:u w:val="single"/>
        </w:rPr>
        <w:t>Undesirables</w:t>
      </w:r>
    </w:p>
    <w:p w:rsidR="003D6B5C" w:rsidRPr="006B178B" w:rsidRDefault="0062131B" w:rsidP="000A4E91">
      <w:pPr>
        <w:pStyle w:val="ListParagraph"/>
        <w:numPr>
          <w:ilvl w:val="0"/>
          <w:numId w:val="1"/>
        </w:numPr>
        <w:ind w:hanging="720"/>
        <w:rPr>
          <w:rFonts w:ascii="Times New Roman" w:hAnsi="Times New Roman" w:cs="Times New Roman"/>
          <w:sz w:val="24"/>
          <w:szCs w:val="24"/>
        </w:rPr>
      </w:pPr>
      <w:r w:rsidRPr="006B178B">
        <w:rPr>
          <w:rFonts w:ascii="Times New Roman" w:hAnsi="Times New Roman" w:cs="Times New Roman"/>
          <w:sz w:val="24"/>
          <w:szCs w:val="24"/>
        </w:rPr>
        <w:t xml:space="preserve">The VC failed to take into account the testimony of Jack wherein he testified about how humiliated and disheartened he </w:t>
      </w:r>
      <w:r w:rsidR="006E2D5D" w:rsidRPr="006B178B">
        <w:rPr>
          <w:rFonts w:ascii="Times New Roman" w:hAnsi="Times New Roman" w:cs="Times New Roman"/>
          <w:sz w:val="24"/>
          <w:szCs w:val="24"/>
        </w:rPr>
        <w:t xml:space="preserve">was </w:t>
      </w:r>
      <w:r w:rsidRPr="006B178B">
        <w:rPr>
          <w:rFonts w:ascii="Times New Roman" w:hAnsi="Times New Roman" w:cs="Times New Roman"/>
          <w:sz w:val="24"/>
          <w:szCs w:val="24"/>
        </w:rPr>
        <w:t xml:space="preserve">when accused of ‘Associating with </w:t>
      </w:r>
      <w:r w:rsidR="0046522E" w:rsidRPr="006B178B">
        <w:rPr>
          <w:rFonts w:ascii="Times New Roman" w:hAnsi="Times New Roman" w:cs="Times New Roman"/>
          <w:sz w:val="24"/>
          <w:szCs w:val="24"/>
        </w:rPr>
        <w:t>Undesirables</w:t>
      </w:r>
      <w:r w:rsidRPr="006B178B">
        <w:rPr>
          <w:rFonts w:ascii="Times New Roman" w:hAnsi="Times New Roman" w:cs="Times New Roman"/>
          <w:sz w:val="24"/>
          <w:szCs w:val="24"/>
        </w:rPr>
        <w:t>’</w:t>
      </w:r>
      <w:r w:rsidRPr="006B178B">
        <w:rPr>
          <w:rStyle w:val="FootnoteReference"/>
          <w:rFonts w:ascii="Times New Roman" w:hAnsi="Times New Roman" w:cs="Times New Roman"/>
          <w:sz w:val="24"/>
          <w:szCs w:val="24"/>
        </w:rPr>
        <w:footnoteReference w:id="3"/>
      </w:r>
      <w:r w:rsidR="009E273B" w:rsidRPr="006B178B">
        <w:rPr>
          <w:rFonts w:ascii="Times New Roman" w:hAnsi="Times New Roman" w:cs="Times New Roman"/>
          <w:sz w:val="24"/>
          <w:szCs w:val="24"/>
        </w:rPr>
        <w:t xml:space="preserve"> an</w:t>
      </w:r>
      <w:r w:rsidR="003D6B5C" w:rsidRPr="006B178B">
        <w:rPr>
          <w:rFonts w:ascii="Times New Roman" w:hAnsi="Times New Roman" w:cs="Times New Roman"/>
          <w:sz w:val="24"/>
          <w:szCs w:val="24"/>
        </w:rPr>
        <w:t>d how Jack testified</w:t>
      </w:r>
      <w:r w:rsidR="009E273B" w:rsidRPr="006B178B">
        <w:rPr>
          <w:rFonts w:ascii="Times New Roman" w:hAnsi="Times New Roman" w:cs="Times New Roman"/>
          <w:sz w:val="24"/>
          <w:szCs w:val="24"/>
        </w:rPr>
        <w:t xml:space="preserve"> that it was a ‘coup de grace’ orchestrated by some </w:t>
      </w:r>
      <w:r w:rsidR="003D6B5C" w:rsidRPr="006B178B">
        <w:rPr>
          <w:rFonts w:ascii="Times New Roman" w:hAnsi="Times New Roman" w:cs="Times New Roman"/>
          <w:sz w:val="24"/>
          <w:szCs w:val="24"/>
        </w:rPr>
        <w:t>officers to finish him off.</w:t>
      </w:r>
      <w:r w:rsidR="003D6B5C" w:rsidRPr="006B178B">
        <w:rPr>
          <w:rStyle w:val="FootnoteReference"/>
          <w:rFonts w:ascii="Times New Roman" w:hAnsi="Times New Roman" w:cs="Times New Roman"/>
          <w:sz w:val="24"/>
          <w:szCs w:val="24"/>
        </w:rPr>
        <w:footnoteReference w:id="4"/>
      </w:r>
    </w:p>
    <w:p w:rsidR="003D6B5C" w:rsidRPr="006B178B" w:rsidRDefault="003D6B5C" w:rsidP="000A4E91">
      <w:pPr>
        <w:pStyle w:val="ListParagraph"/>
        <w:ind w:hanging="720"/>
        <w:rPr>
          <w:rFonts w:ascii="Times New Roman" w:hAnsi="Times New Roman" w:cs="Times New Roman"/>
          <w:sz w:val="24"/>
          <w:szCs w:val="24"/>
        </w:rPr>
      </w:pPr>
    </w:p>
    <w:p w:rsidR="0075185B" w:rsidRPr="006B178B" w:rsidRDefault="0062131B" w:rsidP="000A4E91">
      <w:pPr>
        <w:pStyle w:val="ListParagraph"/>
        <w:numPr>
          <w:ilvl w:val="0"/>
          <w:numId w:val="1"/>
        </w:numPr>
        <w:ind w:hanging="720"/>
        <w:rPr>
          <w:rFonts w:ascii="Times New Roman" w:hAnsi="Times New Roman" w:cs="Times New Roman"/>
          <w:sz w:val="24"/>
          <w:szCs w:val="24"/>
        </w:rPr>
      </w:pPr>
      <w:r w:rsidRPr="006B178B">
        <w:rPr>
          <w:rFonts w:ascii="Times New Roman" w:hAnsi="Times New Roman" w:cs="Times New Roman"/>
          <w:sz w:val="24"/>
          <w:szCs w:val="24"/>
        </w:rPr>
        <w:t>The VC failed to take into account the t</w:t>
      </w:r>
      <w:r w:rsidR="0091769E" w:rsidRPr="006B178B">
        <w:rPr>
          <w:rFonts w:ascii="Times New Roman" w:hAnsi="Times New Roman" w:cs="Times New Roman"/>
          <w:sz w:val="24"/>
          <w:szCs w:val="24"/>
        </w:rPr>
        <w:t xml:space="preserve">estimony of Sgt. Peter Butorac </w:t>
      </w:r>
      <w:r w:rsidRPr="006B178B">
        <w:rPr>
          <w:rFonts w:ascii="Times New Roman" w:hAnsi="Times New Roman" w:cs="Times New Roman"/>
          <w:sz w:val="24"/>
          <w:szCs w:val="24"/>
        </w:rPr>
        <w:t>wherein he testified about how embarrassing it was to get such an accusation levied against one</w:t>
      </w:r>
      <w:r w:rsidRPr="006B178B">
        <w:rPr>
          <w:rStyle w:val="FootnoteReference"/>
          <w:rFonts w:ascii="Times New Roman" w:hAnsi="Times New Roman" w:cs="Times New Roman"/>
          <w:sz w:val="24"/>
          <w:szCs w:val="24"/>
        </w:rPr>
        <w:footnoteReference w:id="5"/>
      </w:r>
      <w:r w:rsidRPr="006B178B">
        <w:rPr>
          <w:rFonts w:ascii="Times New Roman" w:hAnsi="Times New Roman" w:cs="Times New Roman"/>
          <w:sz w:val="24"/>
          <w:szCs w:val="24"/>
        </w:rPr>
        <w:t xml:space="preserve"> and </w:t>
      </w:r>
      <w:r w:rsidR="0018188E" w:rsidRPr="006B178B">
        <w:rPr>
          <w:rFonts w:ascii="Times New Roman" w:hAnsi="Times New Roman" w:cs="Times New Roman"/>
          <w:sz w:val="24"/>
          <w:szCs w:val="24"/>
        </w:rPr>
        <w:t xml:space="preserve">if such a reference was in line with his understanding of the </w:t>
      </w:r>
      <w:r w:rsidR="0018188E" w:rsidRPr="006B178B">
        <w:rPr>
          <w:rFonts w:ascii="Times New Roman" w:hAnsi="Times New Roman" w:cs="Times New Roman"/>
          <w:i/>
          <w:sz w:val="24"/>
          <w:szCs w:val="24"/>
        </w:rPr>
        <w:t>Human Rights Code</w:t>
      </w:r>
      <w:r w:rsidR="0018188E" w:rsidRPr="006B178B">
        <w:rPr>
          <w:rFonts w:ascii="Times New Roman" w:hAnsi="Times New Roman" w:cs="Times New Roman"/>
          <w:sz w:val="24"/>
          <w:szCs w:val="24"/>
        </w:rPr>
        <w:t xml:space="preserve"> (</w:t>
      </w:r>
      <w:r w:rsidR="0018188E" w:rsidRPr="006B178B">
        <w:rPr>
          <w:rFonts w:ascii="Times New Roman" w:hAnsi="Times New Roman" w:cs="Times New Roman"/>
          <w:i/>
          <w:sz w:val="24"/>
          <w:szCs w:val="24"/>
        </w:rPr>
        <w:t>Code</w:t>
      </w:r>
      <w:r w:rsidR="0018188E" w:rsidRPr="006B178B">
        <w:rPr>
          <w:rFonts w:ascii="Times New Roman" w:hAnsi="Times New Roman" w:cs="Times New Roman"/>
          <w:sz w:val="24"/>
          <w:szCs w:val="24"/>
        </w:rPr>
        <w:t>).</w:t>
      </w:r>
      <w:r w:rsidRPr="006B178B">
        <w:rPr>
          <w:rStyle w:val="FootnoteReference"/>
          <w:rFonts w:ascii="Times New Roman" w:hAnsi="Times New Roman" w:cs="Times New Roman"/>
          <w:sz w:val="24"/>
          <w:szCs w:val="24"/>
        </w:rPr>
        <w:footnoteReference w:id="6"/>
      </w:r>
    </w:p>
    <w:p w:rsidR="004E7E79" w:rsidRPr="006B178B" w:rsidRDefault="0062131B" w:rsidP="000A4E91">
      <w:pPr>
        <w:pStyle w:val="ListParagraph"/>
        <w:numPr>
          <w:ilvl w:val="0"/>
          <w:numId w:val="1"/>
        </w:numPr>
        <w:ind w:hanging="720"/>
        <w:rPr>
          <w:rFonts w:ascii="Times New Roman" w:hAnsi="Times New Roman" w:cs="Times New Roman"/>
          <w:sz w:val="24"/>
          <w:szCs w:val="24"/>
        </w:rPr>
      </w:pPr>
      <w:r w:rsidRPr="006B178B">
        <w:rPr>
          <w:rFonts w:ascii="Times New Roman" w:hAnsi="Times New Roman" w:cs="Times New Roman"/>
          <w:sz w:val="24"/>
          <w:szCs w:val="24"/>
        </w:rPr>
        <w:lastRenderedPageBreak/>
        <w:t>The VC failed to take into account the testimony of Karen German wherein she test</w:t>
      </w:r>
      <w:r w:rsidR="005A2D81" w:rsidRPr="006B178B">
        <w:rPr>
          <w:rFonts w:ascii="Times New Roman" w:hAnsi="Times New Roman" w:cs="Times New Roman"/>
          <w:sz w:val="24"/>
          <w:szCs w:val="24"/>
        </w:rPr>
        <w:t>ified about who the so called ‘</w:t>
      </w:r>
      <w:r w:rsidR="0046522E" w:rsidRPr="006B178B">
        <w:rPr>
          <w:rFonts w:ascii="Times New Roman" w:hAnsi="Times New Roman" w:cs="Times New Roman"/>
          <w:sz w:val="24"/>
          <w:szCs w:val="24"/>
        </w:rPr>
        <w:t>Undesirables</w:t>
      </w:r>
      <w:r w:rsidRPr="006B178B">
        <w:rPr>
          <w:rFonts w:ascii="Times New Roman" w:hAnsi="Times New Roman" w:cs="Times New Roman"/>
          <w:sz w:val="24"/>
          <w:szCs w:val="24"/>
        </w:rPr>
        <w:t>’</w:t>
      </w:r>
      <w:r w:rsidR="0018188E" w:rsidRPr="006B178B">
        <w:rPr>
          <w:rFonts w:ascii="Times New Roman" w:hAnsi="Times New Roman" w:cs="Times New Roman"/>
          <w:sz w:val="24"/>
          <w:szCs w:val="24"/>
        </w:rPr>
        <w:t xml:space="preserve"> were and</w:t>
      </w:r>
      <w:r w:rsidRPr="006B178B">
        <w:rPr>
          <w:rFonts w:ascii="Times New Roman" w:hAnsi="Times New Roman" w:cs="Times New Roman"/>
          <w:sz w:val="24"/>
          <w:szCs w:val="24"/>
        </w:rPr>
        <w:t xml:space="preserve"> how she had to asked more than once to identify who the </w:t>
      </w:r>
      <w:r w:rsidR="0046522E" w:rsidRPr="006B178B">
        <w:rPr>
          <w:rFonts w:ascii="Times New Roman" w:hAnsi="Times New Roman" w:cs="Times New Roman"/>
          <w:sz w:val="24"/>
          <w:szCs w:val="24"/>
        </w:rPr>
        <w:t>Undesirables</w:t>
      </w:r>
      <w:r w:rsidRPr="006B178B">
        <w:rPr>
          <w:rFonts w:ascii="Times New Roman" w:hAnsi="Times New Roman" w:cs="Times New Roman"/>
          <w:sz w:val="24"/>
          <w:szCs w:val="24"/>
        </w:rPr>
        <w:t xml:space="preserve"> were</w:t>
      </w:r>
      <w:r w:rsidR="0018188E" w:rsidRPr="006B178B">
        <w:rPr>
          <w:rFonts w:ascii="Times New Roman" w:hAnsi="Times New Roman" w:cs="Times New Roman"/>
          <w:sz w:val="24"/>
          <w:szCs w:val="24"/>
        </w:rPr>
        <w:t>.</w:t>
      </w:r>
      <w:r w:rsidRPr="006B178B">
        <w:rPr>
          <w:rStyle w:val="FootnoteReference"/>
          <w:rFonts w:ascii="Times New Roman" w:hAnsi="Times New Roman" w:cs="Times New Roman"/>
          <w:sz w:val="24"/>
          <w:szCs w:val="24"/>
        </w:rPr>
        <w:footnoteReference w:id="7"/>
      </w:r>
    </w:p>
    <w:p w:rsidR="004E7E79" w:rsidRPr="006B178B" w:rsidRDefault="004E7E79" w:rsidP="000A4E91">
      <w:pPr>
        <w:pStyle w:val="ListParagraph"/>
        <w:ind w:hanging="720"/>
        <w:rPr>
          <w:rFonts w:ascii="Times New Roman" w:hAnsi="Times New Roman" w:cs="Times New Roman"/>
          <w:sz w:val="24"/>
          <w:szCs w:val="24"/>
        </w:rPr>
      </w:pPr>
    </w:p>
    <w:p w:rsidR="0018188E" w:rsidRPr="006B178B" w:rsidRDefault="0062131B" w:rsidP="000A4E91">
      <w:pPr>
        <w:pStyle w:val="ListParagraph"/>
        <w:numPr>
          <w:ilvl w:val="0"/>
          <w:numId w:val="1"/>
        </w:numPr>
        <w:ind w:hanging="720"/>
        <w:rPr>
          <w:rFonts w:ascii="Times New Roman" w:hAnsi="Times New Roman" w:cs="Times New Roman"/>
          <w:sz w:val="24"/>
          <w:szCs w:val="24"/>
        </w:rPr>
      </w:pPr>
      <w:r w:rsidRPr="006B178B">
        <w:rPr>
          <w:rFonts w:ascii="Times New Roman" w:hAnsi="Times New Roman" w:cs="Times New Roman"/>
          <w:sz w:val="24"/>
          <w:szCs w:val="24"/>
        </w:rPr>
        <w:t xml:space="preserve">The VC failed to take into account </w:t>
      </w:r>
      <w:r w:rsidR="00B82F59" w:rsidRPr="006B178B">
        <w:rPr>
          <w:rFonts w:ascii="Times New Roman" w:hAnsi="Times New Roman" w:cs="Times New Roman"/>
          <w:sz w:val="24"/>
          <w:szCs w:val="24"/>
        </w:rPr>
        <w:t xml:space="preserve">and totally overlooked </w:t>
      </w:r>
      <w:r w:rsidRPr="006B178B">
        <w:rPr>
          <w:rFonts w:ascii="Times New Roman" w:hAnsi="Times New Roman" w:cs="Times New Roman"/>
          <w:sz w:val="24"/>
          <w:szCs w:val="24"/>
        </w:rPr>
        <w:t>that the allegation of Jack running an undercover plate was false and that he never did such a thing</w:t>
      </w:r>
      <w:r w:rsidRPr="006B178B">
        <w:rPr>
          <w:rStyle w:val="FootnoteReference"/>
          <w:rFonts w:ascii="Times New Roman" w:hAnsi="Times New Roman" w:cs="Times New Roman"/>
          <w:sz w:val="24"/>
          <w:szCs w:val="24"/>
        </w:rPr>
        <w:footnoteReference w:id="8"/>
      </w:r>
      <w:r w:rsidRPr="006B178B">
        <w:rPr>
          <w:rFonts w:ascii="Times New Roman" w:hAnsi="Times New Roman" w:cs="Times New Roman"/>
          <w:sz w:val="24"/>
          <w:szCs w:val="24"/>
        </w:rPr>
        <w:t xml:space="preserve"> which caused the internal investigation of ‘associating with </w:t>
      </w:r>
      <w:r w:rsidR="0046522E" w:rsidRPr="006B178B">
        <w:rPr>
          <w:rFonts w:ascii="Times New Roman" w:hAnsi="Times New Roman" w:cs="Times New Roman"/>
          <w:sz w:val="24"/>
          <w:szCs w:val="24"/>
        </w:rPr>
        <w:t>Undesirables</w:t>
      </w:r>
      <w:r w:rsidRPr="006B178B">
        <w:rPr>
          <w:rFonts w:ascii="Times New Roman" w:hAnsi="Times New Roman" w:cs="Times New Roman"/>
          <w:sz w:val="24"/>
          <w:szCs w:val="24"/>
        </w:rPr>
        <w:t>’.</w:t>
      </w:r>
      <w:r w:rsidR="004E7E79" w:rsidRPr="006B178B">
        <w:rPr>
          <w:rStyle w:val="FootnoteReference"/>
          <w:rFonts w:ascii="Times New Roman" w:hAnsi="Times New Roman" w:cs="Times New Roman"/>
          <w:sz w:val="24"/>
          <w:szCs w:val="24"/>
        </w:rPr>
        <w:footnoteReference w:id="9"/>
      </w:r>
      <w:r w:rsidRPr="006B178B">
        <w:rPr>
          <w:rFonts w:ascii="Times New Roman" w:hAnsi="Times New Roman" w:cs="Times New Roman"/>
          <w:sz w:val="24"/>
          <w:szCs w:val="24"/>
        </w:rPr>
        <w:t xml:space="preserve"> </w:t>
      </w:r>
    </w:p>
    <w:p w:rsidR="00B64C6D" w:rsidRPr="006B178B" w:rsidRDefault="00B64C6D" w:rsidP="000A4E91">
      <w:pPr>
        <w:pStyle w:val="ListParagraph"/>
        <w:ind w:hanging="720"/>
        <w:rPr>
          <w:rFonts w:ascii="Times New Roman" w:hAnsi="Times New Roman" w:cs="Times New Roman"/>
          <w:sz w:val="24"/>
          <w:szCs w:val="24"/>
        </w:rPr>
      </w:pPr>
    </w:p>
    <w:p w:rsidR="00955A3B" w:rsidRPr="006B178B" w:rsidRDefault="0062131B" w:rsidP="000A4E91">
      <w:pPr>
        <w:pStyle w:val="ListParagraph"/>
        <w:numPr>
          <w:ilvl w:val="0"/>
          <w:numId w:val="1"/>
        </w:numPr>
        <w:ind w:hanging="720"/>
        <w:rPr>
          <w:rFonts w:ascii="Times New Roman" w:hAnsi="Times New Roman" w:cs="Times New Roman"/>
          <w:sz w:val="24"/>
          <w:szCs w:val="24"/>
        </w:rPr>
      </w:pPr>
      <w:r w:rsidRPr="006B178B">
        <w:rPr>
          <w:rFonts w:ascii="Times New Roman" w:hAnsi="Times New Roman" w:cs="Times New Roman"/>
          <w:sz w:val="24"/>
          <w:szCs w:val="24"/>
        </w:rPr>
        <w:t>The VC failed to take into account</w:t>
      </w:r>
      <w:r w:rsidR="00B82F59" w:rsidRPr="006B178B">
        <w:rPr>
          <w:rFonts w:ascii="Times New Roman" w:hAnsi="Times New Roman" w:cs="Times New Roman"/>
          <w:sz w:val="24"/>
          <w:szCs w:val="24"/>
        </w:rPr>
        <w:t xml:space="preserve"> and totally overlooked the fact </w:t>
      </w:r>
      <w:r w:rsidRPr="006B178B">
        <w:rPr>
          <w:rFonts w:ascii="Times New Roman" w:hAnsi="Times New Roman" w:cs="Times New Roman"/>
          <w:sz w:val="24"/>
          <w:szCs w:val="24"/>
        </w:rPr>
        <w:t xml:space="preserve">that </w:t>
      </w:r>
      <w:proofErr w:type="spellStart"/>
      <w:r w:rsidRPr="006B178B">
        <w:rPr>
          <w:rFonts w:ascii="Times New Roman" w:hAnsi="Times New Roman" w:cs="Times New Roman"/>
          <w:sz w:val="24"/>
          <w:szCs w:val="24"/>
        </w:rPr>
        <w:t>Cst</w:t>
      </w:r>
      <w:proofErr w:type="spellEnd"/>
      <w:r w:rsidRPr="006B178B">
        <w:rPr>
          <w:rFonts w:ascii="Times New Roman" w:hAnsi="Times New Roman" w:cs="Times New Roman"/>
          <w:sz w:val="24"/>
          <w:szCs w:val="24"/>
        </w:rPr>
        <w:t xml:space="preserve">. Brockley perjured himself on the stand with respect to his knowledge of the 13 phone calls </w:t>
      </w:r>
      <w:r w:rsidR="00B82F59" w:rsidRPr="006B178B">
        <w:rPr>
          <w:rFonts w:ascii="Times New Roman" w:hAnsi="Times New Roman" w:cs="Times New Roman"/>
          <w:sz w:val="24"/>
          <w:szCs w:val="24"/>
        </w:rPr>
        <w:t xml:space="preserve">made by the applicant </w:t>
      </w:r>
      <w:r w:rsidRPr="006B178B">
        <w:rPr>
          <w:rFonts w:ascii="Times New Roman" w:hAnsi="Times New Roman" w:cs="Times New Roman"/>
          <w:sz w:val="24"/>
          <w:szCs w:val="24"/>
        </w:rPr>
        <w:t xml:space="preserve">to one of the so called </w:t>
      </w:r>
      <w:r w:rsidR="00F577AB" w:rsidRPr="006B178B">
        <w:rPr>
          <w:rFonts w:ascii="Times New Roman" w:hAnsi="Times New Roman" w:cs="Times New Roman"/>
          <w:sz w:val="24"/>
          <w:szCs w:val="24"/>
        </w:rPr>
        <w:t>‘</w:t>
      </w:r>
      <w:r w:rsidR="0046522E" w:rsidRPr="006B178B">
        <w:rPr>
          <w:rFonts w:ascii="Times New Roman" w:hAnsi="Times New Roman" w:cs="Times New Roman"/>
          <w:sz w:val="24"/>
          <w:szCs w:val="24"/>
        </w:rPr>
        <w:t>Undesirables</w:t>
      </w:r>
      <w:r w:rsidR="00F577AB" w:rsidRPr="006B178B">
        <w:rPr>
          <w:rFonts w:ascii="Times New Roman" w:hAnsi="Times New Roman" w:cs="Times New Roman"/>
          <w:sz w:val="24"/>
          <w:szCs w:val="24"/>
        </w:rPr>
        <w:t>’</w:t>
      </w:r>
      <w:r w:rsidRPr="006B178B">
        <w:rPr>
          <w:rFonts w:ascii="Times New Roman" w:hAnsi="Times New Roman" w:cs="Times New Roman"/>
          <w:sz w:val="24"/>
          <w:szCs w:val="24"/>
        </w:rPr>
        <w:t>.</w:t>
      </w:r>
      <w:r w:rsidRPr="006B178B">
        <w:rPr>
          <w:rStyle w:val="FootnoteReference"/>
          <w:rFonts w:ascii="Times New Roman" w:hAnsi="Times New Roman" w:cs="Times New Roman"/>
          <w:sz w:val="24"/>
          <w:szCs w:val="24"/>
        </w:rPr>
        <w:footnoteReference w:id="10"/>
      </w:r>
      <w:r w:rsidRPr="006B178B">
        <w:rPr>
          <w:rFonts w:ascii="Times New Roman" w:hAnsi="Times New Roman" w:cs="Times New Roman"/>
          <w:sz w:val="24"/>
          <w:szCs w:val="24"/>
        </w:rPr>
        <w:t xml:space="preserve"> </w:t>
      </w:r>
    </w:p>
    <w:p w:rsidR="00955A3B" w:rsidRPr="006B178B" w:rsidRDefault="00955A3B" w:rsidP="000A4E91">
      <w:pPr>
        <w:pStyle w:val="ListParagraph"/>
        <w:ind w:hanging="720"/>
        <w:rPr>
          <w:rFonts w:ascii="Times New Roman" w:hAnsi="Times New Roman" w:cs="Times New Roman"/>
          <w:sz w:val="24"/>
          <w:szCs w:val="24"/>
        </w:rPr>
      </w:pPr>
    </w:p>
    <w:p w:rsidR="00EA4423" w:rsidRPr="006B178B" w:rsidRDefault="0062131B" w:rsidP="000A4E91">
      <w:pPr>
        <w:pStyle w:val="ListParagraph"/>
        <w:numPr>
          <w:ilvl w:val="0"/>
          <w:numId w:val="1"/>
        </w:numPr>
        <w:ind w:hanging="720"/>
        <w:rPr>
          <w:rFonts w:ascii="Times New Roman" w:hAnsi="Times New Roman" w:cs="Times New Roman"/>
          <w:sz w:val="24"/>
          <w:szCs w:val="24"/>
        </w:rPr>
      </w:pPr>
      <w:r w:rsidRPr="006B178B">
        <w:rPr>
          <w:rFonts w:ascii="Times New Roman" w:hAnsi="Times New Roman" w:cs="Times New Roman"/>
          <w:sz w:val="24"/>
          <w:szCs w:val="24"/>
        </w:rPr>
        <w:t xml:space="preserve">When the test of a reasonable person is applied here it is plainly evident that </w:t>
      </w:r>
      <w:r w:rsidR="008E4D96" w:rsidRPr="006B178B">
        <w:rPr>
          <w:rFonts w:ascii="Times New Roman" w:hAnsi="Times New Roman" w:cs="Times New Roman"/>
          <w:sz w:val="24"/>
          <w:szCs w:val="24"/>
        </w:rPr>
        <w:t>there was no substance to the allegation.</w:t>
      </w:r>
      <w:r w:rsidRPr="006B178B">
        <w:rPr>
          <w:rStyle w:val="FootnoteReference"/>
          <w:rFonts w:ascii="Times New Roman" w:hAnsi="Times New Roman" w:cs="Times New Roman"/>
          <w:sz w:val="24"/>
          <w:szCs w:val="24"/>
        </w:rPr>
        <w:footnoteReference w:id="11"/>
      </w:r>
    </w:p>
    <w:p w:rsidR="0065008A" w:rsidRPr="006B178B" w:rsidRDefault="0065008A" w:rsidP="000A4E91">
      <w:pPr>
        <w:pStyle w:val="ListParagraph"/>
        <w:ind w:hanging="720"/>
        <w:rPr>
          <w:rFonts w:ascii="Times New Roman" w:hAnsi="Times New Roman" w:cs="Times New Roman"/>
          <w:sz w:val="24"/>
          <w:szCs w:val="24"/>
        </w:rPr>
      </w:pPr>
    </w:p>
    <w:p w:rsidR="0065008A" w:rsidRPr="006B178B" w:rsidRDefault="0065008A" w:rsidP="000A4E91">
      <w:pPr>
        <w:rPr>
          <w:rFonts w:ascii="Times New Roman" w:hAnsi="Times New Roman" w:cs="Times New Roman"/>
          <w:sz w:val="24"/>
          <w:szCs w:val="24"/>
        </w:rPr>
      </w:pPr>
      <w:r w:rsidRPr="006B178B">
        <w:rPr>
          <w:rFonts w:ascii="Times New Roman" w:hAnsi="Times New Roman" w:cs="Times New Roman"/>
          <w:b/>
          <w:sz w:val="24"/>
          <w:szCs w:val="24"/>
          <w:u w:val="single"/>
        </w:rPr>
        <w:t>Patently Unreasonable – The August 5, 2008 email</w:t>
      </w:r>
    </w:p>
    <w:p w:rsidR="001A7FE0" w:rsidRPr="006B178B" w:rsidRDefault="001A7FE0" w:rsidP="000A4E91">
      <w:pPr>
        <w:pStyle w:val="ListParagraph"/>
        <w:numPr>
          <w:ilvl w:val="0"/>
          <w:numId w:val="1"/>
        </w:numPr>
        <w:ind w:hanging="720"/>
        <w:rPr>
          <w:rFonts w:ascii="Times New Roman" w:hAnsi="Times New Roman" w:cs="Times New Roman"/>
          <w:sz w:val="24"/>
          <w:szCs w:val="24"/>
        </w:rPr>
      </w:pPr>
      <w:r w:rsidRPr="006B178B">
        <w:rPr>
          <w:rFonts w:ascii="Times New Roman" w:hAnsi="Times New Roman" w:cs="Times New Roman"/>
          <w:sz w:val="24"/>
          <w:szCs w:val="24"/>
        </w:rPr>
        <w:t>The conventional approach to applying human rights legislation in the workplace requires the tribunal to decide at the outset into which of two categories the case falls: (1) “direct discrimination”, where the standard is discriminatory on its face, or (2) “adverse effect discrimination”, where the facially neutral standard discriminates in effect. If a prima facie case of either form of discrimination is established, the burden shifts to the employer to justify it.</w:t>
      </w:r>
      <w:r w:rsidRPr="006B178B">
        <w:rPr>
          <w:rStyle w:val="FootnoteReference"/>
          <w:rFonts w:ascii="Times New Roman" w:hAnsi="Times New Roman" w:cs="Times New Roman"/>
          <w:sz w:val="24"/>
          <w:szCs w:val="24"/>
        </w:rPr>
        <w:footnoteReference w:id="12"/>
      </w:r>
      <w:r w:rsidRPr="006B178B">
        <w:rPr>
          <w:rFonts w:ascii="Times New Roman" w:hAnsi="Times New Roman" w:cs="Times New Roman"/>
          <w:sz w:val="24"/>
          <w:szCs w:val="24"/>
        </w:rPr>
        <w:t xml:space="preserve"> </w:t>
      </w:r>
    </w:p>
    <w:p w:rsidR="001A7FE0" w:rsidRPr="006B178B" w:rsidRDefault="001A7FE0" w:rsidP="000A4E91">
      <w:pPr>
        <w:pStyle w:val="ListParagraph"/>
        <w:ind w:hanging="720"/>
        <w:rPr>
          <w:rFonts w:ascii="Times New Roman" w:hAnsi="Times New Roman" w:cs="Times New Roman"/>
          <w:sz w:val="24"/>
          <w:szCs w:val="24"/>
        </w:rPr>
      </w:pPr>
    </w:p>
    <w:p w:rsidR="0065008A" w:rsidRDefault="0065008A" w:rsidP="000A4E91">
      <w:pPr>
        <w:pStyle w:val="ListParagraph"/>
        <w:numPr>
          <w:ilvl w:val="0"/>
          <w:numId w:val="1"/>
        </w:numPr>
        <w:ind w:hanging="720"/>
        <w:rPr>
          <w:rFonts w:ascii="Times New Roman" w:hAnsi="Times New Roman" w:cs="Times New Roman"/>
          <w:sz w:val="24"/>
          <w:szCs w:val="24"/>
        </w:rPr>
      </w:pPr>
      <w:r w:rsidRPr="006B178B">
        <w:rPr>
          <w:rFonts w:ascii="Times New Roman" w:hAnsi="Times New Roman" w:cs="Times New Roman"/>
          <w:sz w:val="24"/>
          <w:szCs w:val="24"/>
        </w:rPr>
        <w:t>The VC failed to take into account and totally overlooked the email from Sergeant Bra</w:t>
      </w:r>
      <w:r w:rsidR="006A1479" w:rsidRPr="006B178B">
        <w:rPr>
          <w:rFonts w:ascii="Times New Roman" w:hAnsi="Times New Roman" w:cs="Times New Roman"/>
          <w:sz w:val="24"/>
          <w:szCs w:val="24"/>
        </w:rPr>
        <w:t>d</w:t>
      </w:r>
      <w:r w:rsidRPr="006B178B">
        <w:rPr>
          <w:rFonts w:ascii="Times New Roman" w:hAnsi="Times New Roman" w:cs="Times New Roman"/>
          <w:sz w:val="24"/>
          <w:szCs w:val="24"/>
        </w:rPr>
        <w:t xml:space="preserve"> Rathbun (Rathbun) dated August 5, 2008.</w:t>
      </w:r>
      <w:r w:rsidR="006A1479" w:rsidRPr="006B178B">
        <w:rPr>
          <w:rStyle w:val="FootnoteReference"/>
          <w:rFonts w:ascii="Times New Roman" w:hAnsi="Times New Roman" w:cs="Times New Roman"/>
          <w:sz w:val="24"/>
          <w:szCs w:val="24"/>
        </w:rPr>
        <w:footnoteReference w:id="13"/>
      </w:r>
      <w:r w:rsidRPr="006B178B">
        <w:rPr>
          <w:rFonts w:ascii="Times New Roman" w:hAnsi="Times New Roman" w:cs="Times New Roman"/>
          <w:sz w:val="24"/>
          <w:szCs w:val="24"/>
        </w:rPr>
        <w:t xml:space="preserve"> Had the subject person been (Inspector) Mike Johnston the email would not have read:</w:t>
      </w:r>
    </w:p>
    <w:p w:rsidR="006B178B" w:rsidRPr="006B178B" w:rsidRDefault="006B178B" w:rsidP="006B178B">
      <w:pPr>
        <w:pStyle w:val="ListParagraph"/>
        <w:rPr>
          <w:rFonts w:ascii="Times New Roman" w:hAnsi="Times New Roman" w:cs="Times New Roman"/>
          <w:sz w:val="24"/>
          <w:szCs w:val="24"/>
        </w:rPr>
      </w:pPr>
    </w:p>
    <w:p w:rsidR="006A1479" w:rsidRPr="006B178B" w:rsidRDefault="0065008A" w:rsidP="000A4E91">
      <w:pPr>
        <w:pStyle w:val="ListParagraph"/>
        <w:spacing w:after="0" w:line="360" w:lineRule="auto"/>
        <w:ind w:left="1080"/>
        <w:rPr>
          <w:rFonts w:ascii="Times New Roman" w:hAnsi="Times New Roman" w:cs="Times New Roman"/>
          <w:b/>
          <w:bCs/>
          <w:sz w:val="24"/>
          <w:szCs w:val="24"/>
        </w:rPr>
      </w:pPr>
      <w:r w:rsidRPr="006B178B">
        <w:rPr>
          <w:rFonts w:ascii="Times New Roman" w:hAnsi="Times New Roman" w:cs="Times New Roman"/>
          <w:b/>
          <w:bCs/>
          <w:sz w:val="24"/>
          <w:szCs w:val="24"/>
        </w:rPr>
        <w:t xml:space="preserve">‘… </w:t>
      </w:r>
      <w:proofErr w:type="gramStart"/>
      <w:r w:rsidRPr="006B178B">
        <w:rPr>
          <w:rFonts w:ascii="Times New Roman" w:hAnsi="Times New Roman" w:cs="Times New Roman"/>
          <w:b/>
          <w:bCs/>
          <w:i/>
          <w:sz w:val="24"/>
          <w:szCs w:val="24"/>
        </w:rPr>
        <w:t>the</w:t>
      </w:r>
      <w:proofErr w:type="gramEnd"/>
      <w:r w:rsidRPr="006B178B">
        <w:rPr>
          <w:rFonts w:ascii="Times New Roman" w:hAnsi="Times New Roman" w:cs="Times New Roman"/>
          <w:b/>
          <w:bCs/>
          <w:i/>
          <w:sz w:val="24"/>
          <w:szCs w:val="24"/>
        </w:rPr>
        <w:t xml:space="preserve"> Canadian male who has spent time in the Canadian Army, with the name of Mike JOHNSTON (Date of Birth)</w:t>
      </w:r>
      <w:r w:rsidRPr="006B178B">
        <w:rPr>
          <w:rFonts w:ascii="Times New Roman" w:hAnsi="Times New Roman" w:cs="Times New Roman"/>
          <w:b/>
          <w:bCs/>
          <w:sz w:val="24"/>
          <w:szCs w:val="24"/>
        </w:rPr>
        <w:t>.’</w:t>
      </w:r>
    </w:p>
    <w:p w:rsidR="006A1479" w:rsidRPr="006B178B" w:rsidRDefault="006A1479" w:rsidP="000A4E91">
      <w:pPr>
        <w:pStyle w:val="ListParagraph"/>
        <w:spacing w:after="0" w:line="360" w:lineRule="auto"/>
        <w:ind w:left="1080"/>
        <w:rPr>
          <w:rFonts w:ascii="Times New Roman" w:hAnsi="Times New Roman" w:cs="Times New Roman"/>
          <w:b/>
          <w:bCs/>
          <w:sz w:val="20"/>
          <w:szCs w:val="20"/>
        </w:rPr>
      </w:pPr>
    </w:p>
    <w:p w:rsidR="0065008A" w:rsidRPr="006B178B" w:rsidRDefault="006A1479" w:rsidP="000A4E91">
      <w:pPr>
        <w:pStyle w:val="ListParagraph"/>
        <w:spacing w:after="0" w:line="360" w:lineRule="auto"/>
        <w:ind w:left="1080"/>
        <w:rPr>
          <w:rFonts w:ascii="Times New Roman" w:hAnsi="Times New Roman" w:cs="Times New Roman"/>
          <w:sz w:val="20"/>
          <w:szCs w:val="20"/>
        </w:rPr>
      </w:pPr>
      <w:r w:rsidRPr="006B178B">
        <w:rPr>
          <w:rFonts w:ascii="Times New Roman" w:hAnsi="Times New Roman" w:cs="Times New Roman"/>
          <w:b/>
          <w:bCs/>
          <w:sz w:val="20"/>
          <w:szCs w:val="20"/>
        </w:rPr>
        <w:t xml:space="preserve">Reference: </w:t>
      </w:r>
      <w:r w:rsidRPr="006B178B">
        <w:rPr>
          <w:rFonts w:ascii="Times New Roman" w:hAnsi="Times New Roman" w:cs="Times New Roman"/>
          <w:sz w:val="20"/>
          <w:szCs w:val="20"/>
        </w:rPr>
        <w:t>Closing submission of the applicant 6 Dec 2016, para. 16</w:t>
      </w:r>
    </w:p>
    <w:p w:rsidR="0065008A" w:rsidRPr="006B178B" w:rsidRDefault="0065008A" w:rsidP="000A4E91">
      <w:pPr>
        <w:pStyle w:val="ListParagraph"/>
        <w:ind w:hanging="720"/>
        <w:jc w:val="center"/>
        <w:rPr>
          <w:rFonts w:ascii="Times New Roman" w:hAnsi="Times New Roman" w:cs="Times New Roman"/>
          <w:sz w:val="24"/>
          <w:szCs w:val="24"/>
        </w:rPr>
      </w:pPr>
    </w:p>
    <w:p w:rsidR="001A7FE0" w:rsidRPr="006B178B" w:rsidRDefault="001A7FE0" w:rsidP="000A4E91">
      <w:pPr>
        <w:pStyle w:val="ListParagraph"/>
        <w:numPr>
          <w:ilvl w:val="0"/>
          <w:numId w:val="1"/>
        </w:numPr>
        <w:ind w:hanging="720"/>
        <w:rPr>
          <w:rFonts w:ascii="Times New Roman" w:hAnsi="Times New Roman" w:cs="Times New Roman"/>
          <w:b/>
          <w:sz w:val="24"/>
          <w:szCs w:val="24"/>
          <w:u w:val="single"/>
        </w:rPr>
      </w:pPr>
      <w:r w:rsidRPr="006B178B">
        <w:rPr>
          <w:rFonts w:ascii="Times New Roman" w:hAnsi="Times New Roman" w:cs="Times New Roman"/>
          <w:sz w:val="24"/>
          <w:szCs w:val="24"/>
        </w:rPr>
        <w:lastRenderedPageBreak/>
        <w:t>The amount of attention that email generated did influence the minds of management in the OPPs general headquarters and caused the applicant to undergo a second screening stage including another interview with the OPP’s psychologist all of which was “adverse effect discrimination”.</w:t>
      </w:r>
      <w:r w:rsidRPr="006B178B">
        <w:rPr>
          <w:rStyle w:val="FootnoteReference"/>
          <w:rFonts w:ascii="Times New Roman" w:hAnsi="Times New Roman" w:cs="Times New Roman"/>
          <w:sz w:val="24"/>
          <w:szCs w:val="24"/>
        </w:rPr>
        <w:footnoteReference w:id="14"/>
      </w:r>
    </w:p>
    <w:p w:rsidR="001A7FE0" w:rsidRPr="006B178B" w:rsidRDefault="001A7FE0" w:rsidP="000A4E91">
      <w:pPr>
        <w:pStyle w:val="ListParagraph"/>
        <w:ind w:hanging="720"/>
        <w:rPr>
          <w:rFonts w:ascii="Times New Roman" w:hAnsi="Times New Roman" w:cs="Times New Roman"/>
          <w:b/>
          <w:sz w:val="24"/>
          <w:szCs w:val="24"/>
          <w:u w:val="single"/>
        </w:rPr>
      </w:pPr>
    </w:p>
    <w:p w:rsidR="001A7FE0" w:rsidRPr="006B178B" w:rsidRDefault="001A7FE0" w:rsidP="000A4E91">
      <w:pPr>
        <w:pStyle w:val="ListParagraph"/>
        <w:numPr>
          <w:ilvl w:val="0"/>
          <w:numId w:val="1"/>
        </w:numPr>
        <w:ind w:hanging="720"/>
        <w:rPr>
          <w:rFonts w:ascii="Times New Roman" w:hAnsi="Times New Roman" w:cs="Times New Roman"/>
          <w:b/>
          <w:sz w:val="24"/>
          <w:szCs w:val="24"/>
          <w:u w:val="single"/>
        </w:rPr>
      </w:pPr>
      <w:proofErr w:type="gramStart"/>
      <w:r w:rsidRPr="006B178B">
        <w:rPr>
          <w:rFonts w:ascii="Times New Roman" w:hAnsi="Times New Roman" w:cs="Times New Roman"/>
          <w:sz w:val="24"/>
          <w:szCs w:val="24"/>
        </w:rPr>
        <w:t>It’s</w:t>
      </w:r>
      <w:proofErr w:type="gramEnd"/>
      <w:r w:rsidRPr="006B178B">
        <w:rPr>
          <w:rFonts w:ascii="Times New Roman" w:hAnsi="Times New Roman" w:cs="Times New Roman"/>
          <w:sz w:val="24"/>
          <w:szCs w:val="24"/>
        </w:rPr>
        <w:t xml:space="preserve"> adverse effects did not end then and there but continued on by the employer issuing direction that the applicant was to be watched when he commenced his employment at the detachment. </w:t>
      </w:r>
      <w:r w:rsidRPr="006B178B">
        <w:rPr>
          <w:rStyle w:val="FootnoteReference"/>
          <w:rFonts w:ascii="Times New Roman" w:hAnsi="Times New Roman" w:cs="Times New Roman"/>
          <w:sz w:val="24"/>
          <w:szCs w:val="24"/>
        </w:rPr>
        <w:footnoteReference w:id="15"/>
      </w:r>
    </w:p>
    <w:p w:rsidR="001A7FE0" w:rsidRPr="006B178B" w:rsidRDefault="001A7FE0" w:rsidP="000A4E91">
      <w:pPr>
        <w:pStyle w:val="ListParagraph"/>
        <w:ind w:hanging="720"/>
        <w:rPr>
          <w:rFonts w:ascii="Times New Roman" w:hAnsi="Times New Roman" w:cs="Times New Roman"/>
          <w:sz w:val="24"/>
          <w:szCs w:val="24"/>
        </w:rPr>
      </w:pPr>
    </w:p>
    <w:p w:rsidR="00CB7FE4" w:rsidRPr="006B178B" w:rsidRDefault="0004008B" w:rsidP="000A4E91">
      <w:pPr>
        <w:pStyle w:val="ListParagraph"/>
        <w:numPr>
          <w:ilvl w:val="0"/>
          <w:numId w:val="1"/>
        </w:numPr>
        <w:ind w:hanging="720"/>
        <w:rPr>
          <w:rFonts w:ascii="Times New Roman" w:hAnsi="Times New Roman" w:cs="Times New Roman"/>
          <w:b/>
          <w:sz w:val="24"/>
          <w:szCs w:val="24"/>
          <w:u w:val="single"/>
        </w:rPr>
      </w:pPr>
      <w:r w:rsidRPr="006B178B">
        <w:rPr>
          <w:rFonts w:ascii="Times New Roman" w:hAnsi="Times New Roman" w:cs="Times New Roman"/>
          <w:sz w:val="24"/>
          <w:szCs w:val="24"/>
        </w:rPr>
        <w:t xml:space="preserve">There was no evidence adduced by the respondent OPP that this second screening stage, second interview with the psychologist and the direction that he be watched when he commenced employment at the detachment was necessary to the safe and efficient performance of the job by the applicant and to any concerns of the respondent. To the contrary, </w:t>
      </w:r>
      <w:r w:rsidR="00B92FF7" w:rsidRPr="006B178B">
        <w:rPr>
          <w:rFonts w:ascii="Times New Roman" w:hAnsi="Times New Roman" w:cs="Times New Roman"/>
          <w:sz w:val="24"/>
          <w:szCs w:val="24"/>
        </w:rPr>
        <w:t>that inference is belied by the email from the psychologist that he finds no concerns in the applicant.</w:t>
      </w:r>
      <w:r w:rsidR="00B92FF7" w:rsidRPr="006B178B">
        <w:rPr>
          <w:rStyle w:val="FootnoteReference"/>
          <w:rFonts w:ascii="Times New Roman" w:hAnsi="Times New Roman" w:cs="Times New Roman"/>
          <w:sz w:val="24"/>
          <w:szCs w:val="24"/>
        </w:rPr>
        <w:footnoteReference w:id="16"/>
      </w:r>
      <w:r w:rsidR="00B92FF7" w:rsidRPr="006B178B">
        <w:rPr>
          <w:rFonts w:ascii="Times New Roman" w:hAnsi="Times New Roman" w:cs="Times New Roman"/>
          <w:sz w:val="24"/>
          <w:szCs w:val="24"/>
        </w:rPr>
        <w:t xml:space="preserve"> </w:t>
      </w:r>
    </w:p>
    <w:p w:rsidR="00B92FF7" w:rsidRPr="006B178B" w:rsidRDefault="00B92FF7" w:rsidP="000A4E91">
      <w:pPr>
        <w:pStyle w:val="ListParagraph"/>
        <w:ind w:hanging="720"/>
        <w:rPr>
          <w:rFonts w:ascii="Times New Roman" w:hAnsi="Times New Roman" w:cs="Times New Roman"/>
          <w:b/>
          <w:sz w:val="24"/>
          <w:szCs w:val="24"/>
          <w:u w:val="single"/>
        </w:rPr>
      </w:pPr>
    </w:p>
    <w:p w:rsidR="00B92FF7" w:rsidRPr="006B178B" w:rsidRDefault="00B92FF7" w:rsidP="000A4E91">
      <w:pPr>
        <w:pStyle w:val="ListParagraph"/>
        <w:numPr>
          <w:ilvl w:val="0"/>
          <w:numId w:val="1"/>
        </w:numPr>
        <w:ind w:hanging="720"/>
        <w:rPr>
          <w:rFonts w:ascii="Times New Roman" w:hAnsi="Times New Roman" w:cs="Times New Roman"/>
          <w:b/>
          <w:sz w:val="24"/>
          <w:szCs w:val="24"/>
          <w:u w:val="single"/>
        </w:rPr>
      </w:pPr>
      <w:r w:rsidRPr="006B178B">
        <w:rPr>
          <w:rFonts w:ascii="Times New Roman" w:hAnsi="Times New Roman" w:cs="Times New Roman"/>
          <w:sz w:val="24"/>
          <w:szCs w:val="24"/>
        </w:rPr>
        <w:t xml:space="preserve">If taken into account and not totally overlooked the VC would have had to see that the applicant did not pose a serious risk to himself, his colleagues, or the general public. </w:t>
      </w:r>
      <w:r w:rsidR="00D317A1" w:rsidRPr="006B178B">
        <w:rPr>
          <w:rFonts w:ascii="Times New Roman" w:hAnsi="Times New Roman" w:cs="Times New Roman"/>
          <w:sz w:val="24"/>
          <w:szCs w:val="24"/>
        </w:rPr>
        <w:t xml:space="preserve">Hence that whole process was not necessary for the applicant to perform his job safely and effectively. This leaving the VC to face squarely whether that standard of scrutiny (to be watched when he commenced his employment at the detachment) was unjustifiably discriminatory with the meaning of the </w:t>
      </w:r>
      <w:r w:rsidR="00D317A1" w:rsidRPr="006B178B">
        <w:rPr>
          <w:rFonts w:ascii="Times New Roman" w:hAnsi="Times New Roman" w:cs="Times New Roman"/>
          <w:i/>
          <w:sz w:val="24"/>
          <w:szCs w:val="24"/>
        </w:rPr>
        <w:t>Code</w:t>
      </w:r>
      <w:r w:rsidR="00D317A1" w:rsidRPr="006B178B">
        <w:rPr>
          <w:rFonts w:ascii="Times New Roman" w:hAnsi="Times New Roman" w:cs="Times New Roman"/>
          <w:sz w:val="24"/>
          <w:szCs w:val="24"/>
        </w:rPr>
        <w:t>.</w:t>
      </w:r>
      <w:r w:rsidR="00D317A1" w:rsidRPr="006B178B">
        <w:rPr>
          <w:rStyle w:val="FootnoteReference"/>
          <w:rFonts w:ascii="Times New Roman" w:hAnsi="Times New Roman" w:cs="Times New Roman"/>
          <w:sz w:val="24"/>
          <w:szCs w:val="24"/>
        </w:rPr>
        <w:footnoteReference w:id="17"/>
      </w:r>
    </w:p>
    <w:p w:rsidR="00CB7FE4" w:rsidRPr="006B178B" w:rsidRDefault="00CB7FE4" w:rsidP="000A4E91">
      <w:pPr>
        <w:pStyle w:val="ListParagraph"/>
        <w:ind w:hanging="720"/>
        <w:rPr>
          <w:rFonts w:ascii="Times New Roman" w:eastAsia="Times New Roman" w:hAnsi="Times New Roman" w:cs="Times New Roman"/>
          <w:color w:val="000000"/>
          <w:sz w:val="24"/>
          <w:szCs w:val="24"/>
        </w:rPr>
      </w:pPr>
    </w:p>
    <w:p w:rsidR="006B616C" w:rsidRPr="006B178B" w:rsidRDefault="000C2138" w:rsidP="000A4E91">
      <w:pPr>
        <w:pStyle w:val="ListParagraph"/>
        <w:numPr>
          <w:ilvl w:val="0"/>
          <w:numId w:val="1"/>
        </w:numPr>
        <w:ind w:hanging="720"/>
        <w:rPr>
          <w:rFonts w:ascii="Times New Roman" w:hAnsi="Times New Roman" w:cs="Times New Roman"/>
          <w:sz w:val="24"/>
          <w:szCs w:val="24"/>
        </w:rPr>
      </w:pPr>
      <w:r w:rsidRPr="006B178B">
        <w:rPr>
          <w:rFonts w:ascii="Times New Roman" w:hAnsi="Times New Roman" w:cs="Times New Roman"/>
          <w:sz w:val="24"/>
          <w:szCs w:val="24"/>
        </w:rPr>
        <w:t>The end result of this simple examination, if conducted by the VC would be a finding of “direct discrimination” and “adverse effect discrimination”.</w:t>
      </w:r>
      <w:r w:rsidRPr="006B178B">
        <w:rPr>
          <w:rStyle w:val="FootnoteReference"/>
          <w:rFonts w:ascii="Times New Roman" w:hAnsi="Times New Roman" w:cs="Times New Roman"/>
          <w:sz w:val="24"/>
          <w:szCs w:val="24"/>
        </w:rPr>
        <w:footnoteReference w:id="18"/>
      </w:r>
      <w:r w:rsidR="00FA2A5D" w:rsidRPr="006B178B">
        <w:rPr>
          <w:rFonts w:ascii="Times New Roman" w:hAnsi="Times New Roman" w:cs="Times New Roman"/>
          <w:sz w:val="24"/>
          <w:szCs w:val="24"/>
        </w:rPr>
        <w:t xml:space="preserve"> In both cases the respondent OPP failed to </w:t>
      </w:r>
      <w:r w:rsidR="00700FBC" w:rsidRPr="006B178B">
        <w:rPr>
          <w:rFonts w:ascii="Times New Roman" w:hAnsi="Times New Roman" w:cs="Times New Roman"/>
          <w:sz w:val="24"/>
          <w:szCs w:val="24"/>
        </w:rPr>
        <w:t>have regard for the applicant in question.</w:t>
      </w:r>
      <w:r w:rsidR="00700FBC" w:rsidRPr="006B178B">
        <w:rPr>
          <w:rStyle w:val="FootnoteReference"/>
          <w:rFonts w:ascii="Times New Roman" w:hAnsi="Times New Roman" w:cs="Times New Roman"/>
          <w:sz w:val="24"/>
          <w:szCs w:val="24"/>
        </w:rPr>
        <w:footnoteReference w:id="19"/>
      </w:r>
    </w:p>
    <w:p w:rsidR="00EA4423" w:rsidRPr="006B178B" w:rsidRDefault="0062131B" w:rsidP="000A4E91">
      <w:pPr>
        <w:rPr>
          <w:rFonts w:ascii="Times New Roman" w:hAnsi="Times New Roman" w:cs="Times New Roman"/>
          <w:b/>
          <w:sz w:val="24"/>
          <w:szCs w:val="24"/>
          <w:u w:val="single"/>
        </w:rPr>
      </w:pPr>
      <w:r w:rsidRPr="006B178B">
        <w:rPr>
          <w:rFonts w:ascii="Times New Roman" w:hAnsi="Times New Roman" w:cs="Times New Roman"/>
          <w:b/>
          <w:sz w:val="24"/>
          <w:szCs w:val="24"/>
          <w:u w:val="single"/>
        </w:rPr>
        <w:t xml:space="preserve">Patently Unreasonable – </w:t>
      </w:r>
      <w:r w:rsidR="00333512" w:rsidRPr="006B178B">
        <w:rPr>
          <w:rFonts w:ascii="Times New Roman" w:hAnsi="Times New Roman" w:cs="Times New Roman"/>
          <w:b/>
          <w:sz w:val="24"/>
          <w:szCs w:val="24"/>
          <w:u w:val="single"/>
        </w:rPr>
        <w:t xml:space="preserve">Disregarding </w:t>
      </w:r>
      <w:r w:rsidRPr="006B178B">
        <w:rPr>
          <w:rFonts w:ascii="Times New Roman" w:hAnsi="Times New Roman" w:cs="Times New Roman"/>
          <w:b/>
          <w:sz w:val="24"/>
          <w:szCs w:val="24"/>
          <w:u w:val="single"/>
        </w:rPr>
        <w:t>August 18 and 21, 2009 email</w:t>
      </w:r>
      <w:r w:rsidR="00A26024" w:rsidRPr="006B178B">
        <w:rPr>
          <w:rFonts w:ascii="Times New Roman" w:hAnsi="Times New Roman" w:cs="Times New Roman"/>
          <w:b/>
          <w:sz w:val="24"/>
          <w:szCs w:val="24"/>
          <w:u w:val="single"/>
        </w:rPr>
        <w:t>s</w:t>
      </w:r>
    </w:p>
    <w:p w:rsidR="00A26024" w:rsidRPr="006B178B" w:rsidRDefault="0062131B" w:rsidP="000A4E91">
      <w:pPr>
        <w:pStyle w:val="ListParagraph"/>
        <w:numPr>
          <w:ilvl w:val="0"/>
          <w:numId w:val="1"/>
        </w:numPr>
        <w:ind w:hanging="720"/>
        <w:rPr>
          <w:rFonts w:ascii="Times New Roman" w:hAnsi="Times New Roman" w:cs="Times New Roman"/>
          <w:sz w:val="24"/>
          <w:szCs w:val="24"/>
        </w:rPr>
      </w:pPr>
      <w:r w:rsidRPr="006B178B">
        <w:rPr>
          <w:rFonts w:ascii="Times New Roman" w:hAnsi="Times New Roman" w:cs="Times New Roman"/>
          <w:sz w:val="24"/>
          <w:szCs w:val="24"/>
        </w:rPr>
        <w:t xml:space="preserve">The VC </w:t>
      </w:r>
      <w:r w:rsidR="00955A3B" w:rsidRPr="006B178B">
        <w:rPr>
          <w:rFonts w:ascii="Times New Roman" w:hAnsi="Times New Roman" w:cs="Times New Roman"/>
          <w:sz w:val="24"/>
          <w:szCs w:val="24"/>
        </w:rPr>
        <w:t xml:space="preserve">failed to take into account and </w:t>
      </w:r>
      <w:r w:rsidR="00550917" w:rsidRPr="006B178B">
        <w:rPr>
          <w:rFonts w:ascii="Times New Roman" w:hAnsi="Times New Roman" w:cs="Times New Roman"/>
          <w:sz w:val="24"/>
          <w:szCs w:val="24"/>
        </w:rPr>
        <w:t>totally</w:t>
      </w:r>
      <w:r w:rsidR="00674EE8" w:rsidRPr="006B178B">
        <w:rPr>
          <w:rFonts w:ascii="Times New Roman" w:hAnsi="Times New Roman" w:cs="Times New Roman"/>
          <w:sz w:val="24"/>
          <w:szCs w:val="24"/>
        </w:rPr>
        <w:t xml:space="preserve"> </w:t>
      </w:r>
      <w:r w:rsidRPr="006B178B">
        <w:rPr>
          <w:rFonts w:ascii="Times New Roman" w:hAnsi="Times New Roman" w:cs="Times New Roman"/>
          <w:sz w:val="24"/>
          <w:szCs w:val="24"/>
        </w:rPr>
        <w:t xml:space="preserve">overlooked </w:t>
      </w:r>
      <w:r w:rsidR="00A855A2" w:rsidRPr="006B178B">
        <w:rPr>
          <w:rFonts w:ascii="Times New Roman" w:hAnsi="Times New Roman" w:cs="Times New Roman"/>
          <w:sz w:val="24"/>
          <w:szCs w:val="24"/>
        </w:rPr>
        <w:t xml:space="preserve">S/Sgt. Campbell’s emails to Insp. Johnston dated August 18 and 21, 2009, </w:t>
      </w:r>
      <w:r w:rsidRPr="006B178B">
        <w:rPr>
          <w:rFonts w:ascii="Times New Roman" w:hAnsi="Times New Roman" w:cs="Times New Roman"/>
          <w:sz w:val="24"/>
          <w:szCs w:val="24"/>
        </w:rPr>
        <w:t>wherein the respondent witness S/Sgt. Campbell communicated with Insp. Mike Johnston evidence of targeting Jack and discrimination of Jack’s protected grounds and proof of Sgt. Flindall’s lack of objectivity with Jack. These were Human Right violations being perpetrated against Jack.</w:t>
      </w:r>
      <w:r w:rsidRPr="006B178B">
        <w:rPr>
          <w:rStyle w:val="FootnoteReference"/>
          <w:rFonts w:ascii="Times New Roman" w:hAnsi="Times New Roman" w:cs="Times New Roman"/>
          <w:sz w:val="24"/>
          <w:szCs w:val="24"/>
        </w:rPr>
        <w:footnoteReference w:id="20"/>
      </w:r>
    </w:p>
    <w:p w:rsidR="006B178B" w:rsidRDefault="006B178B" w:rsidP="000A4E91">
      <w:pPr>
        <w:rPr>
          <w:rFonts w:ascii="Times New Roman" w:hAnsi="Times New Roman" w:cs="Times New Roman"/>
          <w:b/>
          <w:sz w:val="24"/>
          <w:szCs w:val="24"/>
          <w:u w:val="single"/>
        </w:rPr>
      </w:pPr>
    </w:p>
    <w:p w:rsidR="008D7C40" w:rsidRPr="006B178B" w:rsidRDefault="0062131B" w:rsidP="000A4E91">
      <w:pPr>
        <w:rPr>
          <w:rFonts w:ascii="Times New Roman" w:hAnsi="Times New Roman" w:cs="Times New Roman"/>
          <w:sz w:val="24"/>
          <w:szCs w:val="24"/>
        </w:rPr>
      </w:pPr>
      <w:r w:rsidRPr="006B178B">
        <w:rPr>
          <w:rFonts w:ascii="Times New Roman" w:hAnsi="Times New Roman" w:cs="Times New Roman"/>
          <w:b/>
          <w:sz w:val="24"/>
          <w:szCs w:val="24"/>
          <w:u w:val="single"/>
        </w:rPr>
        <w:lastRenderedPageBreak/>
        <w:t xml:space="preserve">Patently Unreasonable – </w:t>
      </w:r>
      <w:r w:rsidR="00333512" w:rsidRPr="006B178B">
        <w:rPr>
          <w:rFonts w:ascii="Times New Roman" w:hAnsi="Times New Roman" w:cs="Times New Roman"/>
          <w:b/>
          <w:sz w:val="24"/>
          <w:szCs w:val="24"/>
          <w:u w:val="single"/>
        </w:rPr>
        <w:t>Disregarding l</w:t>
      </w:r>
      <w:r w:rsidRPr="006B178B">
        <w:rPr>
          <w:rFonts w:ascii="Times New Roman" w:hAnsi="Times New Roman" w:cs="Times New Roman"/>
          <w:b/>
          <w:sz w:val="24"/>
          <w:szCs w:val="24"/>
          <w:u w:val="single"/>
        </w:rPr>
        <w:t>ack of fundamental obligations towards a recruit</w:t>
      </w:r>
    </w:p>
    <w:p w:rsidR="00F91243" w:rsidRPr="006B178B" w:rsidRDefault="0062131B" w:rsidP="000A4E91">
      <w:pPr>
        <w:pStyle w:val="ListParagraph"/>
        <w:numPr>
          <w:ilvl w:val="0"/>
          <w:numId w:val="1"/>
        </w:numPr>
        <w:ind w:hanging="720"/>
        <w:rPr>
          <w:rFonts w:ascii="Times New Roman" w:hAnsi="Times New Roman" w:cs="Times New Roman"/>
          <w:sz w:val="24"/>
          <w:szCs w:val="24"/>
        </w:rPr>
      </w:pPr>
      <w:r w:rsidRPr="006B178B">
        <w:rPr>
          <w:rFonts w:ascii="Times New Roman" w:hAnsi="Times New Roman" w:cs="Times New Roman"/>
          <w:sz w:val="24"/>
          <w:szCs w:val="24"/>
        </w:rPr>
        <w:t xml:space="preserve">The VC failed to take into account the lack of fundamental obligations towards Jack, such as failing to hold mandatory performance evaluation meetings with him and </w:t>
      </w:r>
      <w:r w:rsidR="00BA625B" w:rsidRPr="006B178B">
        <w:rPr>
          <w:rFonts w:ascii="Times New Roman" w:hAnsi="Times New Roman" w:cs="Times New Roman"/>
          <w:sz w:val="24"/>
          <w:szCs w:val="24"/>
        </w:rPr>
        <w:t xml:space="preserve">even </w:t>
      </w:r>
      <w:r w:rsidRPr="006B178B">
        <w:rPr>
          <w:rFonts w:ascii="Times New Roman" w:hAnsi="Times New Roman" w:cs="Times New Roman"/>
          <w:sz w:val="24"/>
          <w:szCs w:val="24"/>
        </w:rPr>
        <w:t xml:space="preserve">failing to take him </w:t>
      </w:r>
      <w:r w:rsidR="00674EE8" w:rsidRPr="006B178B">
        <w:rPr>
          <w:rFonts w:ascii="Times New Roman" w:hAnsi="Times New Roman" w:cs="Times New Roman"/>
          <w:sz w:val="24"/>
          <w:szCs w:val="24"/>
        </w:rPr>
        <w:t>to</w:t>
      </w:r>
      <w:r w:rsidRPr="006B178B">
        <w:rPr>
          <w:rFonts w:ascii="Times New Roman" w:hAnsi="Times New Roman" w:cs="Times New Roman"/>
          <w:sz w:val="24"/>
          <w:szCs w:val="24"/>
        </w:rPr>
        <w:t xml:space="preserve"> </w:t>
      </w:r>
      <w:r w:rsidR="00BA625B" w:rsidRPr="006B178B">
        <w:rPr>
          <w:rFonts w:ascii="Times New Roman" w:hAnsi="Times New Roman" w:cs="Times New Roman"/>
          <w:sz w:val="24"/>
          <w:szCs w:val="24"/>
        </w:rPr>
        <w:t xml:space="preserve">a one-day </w:t>
      </w:r>
      <w:r w:rsidR="00674EE8" w:rsidRPr="006B178B">
        <w:rPr>
          <w:rFonts w:ascii="Times New Roman" w:hAnsi="Times New Roman" w:cs="Times New Roman"/>
          <w:sz w:val="24"/>
          <w:szCs w:val="24"/>
        </w:rPr>
        <w:t xml:space="preserve">mandatory </w:t>
      </w:r>
      <w:r w:rsidRPr="006B178B">
        <w:rPr>
          <w:rFonts w:ascii="Times New Roman" w:hAnsi="Times New Roman" w:cs="Times New Roman"/>
          <w:sz w:val="24"/>
          <w:szCs w:val="24"/>
        </w:rPr>
        <w:t xml:space="preserve">orientation session </w:t>
      </w:r>
      <w:r w:rsidR="00BA625B" w:rsidRPr="006B178B">
        <w:rPr>
          <w:rFonts w:ascii="Times New Roman" w:hAnsi="Times New Roman" w:cs="Times New Roman"/>
          <w:sz w:val="24"/>
          <w:szCs w:val="24"/>
        </w:rPr>
        <w:t>at</w:t>
      </w:r>
      <w:r w:rsidRPr="006B178B">
        <w:rPr>
          <w:rFonts w:ascii="Times New Roman" w:hAnsi="Times New Roman" w:cs="Times New Roman"/>
          <w:sz w:val="24"/>
          <w:szCs w:val="24"/>
        </w:rPr>
        <w:t xml:space="preserve"> the provincial communication center</w:t>
      </w:r>
      <w:r w:rsidR="00BA625B" w:rsidRPr="006B178B">
        <w:rPr>
          <w:rFonts w:ascii="Times New Roman" w:hAnsi="Times New Roman" w:cs="Times New Roman"/>
          <w:sz w:val="24"/>
          <w:szCs w:val="24"/>
        </w:rPr>
        <w:t xml:space="preserve"> throughout his entire probationary term</w:t>
      </w:r>
      <w:r w:rsidRPr="006B178B">
        <w:rPr>
          <w:rFonts w:ascii="Times New Roman" w:hAnsi="Times New Roman" w:cs="Times New Roman"/>
          <w:sz w:val="24"/>
          <w:szCs w:val="24"/>
        </w:rPr>
        <w:t>.</w:t>
      </w:r>
      <w:r w:rsidRPr="006B178B">
        <w:rPr>
          <w:rStyle w:val="FootnoteReference"/>
          <w:rFonts w:ascii="Times New Roman" w:hAnsi="Times New Roman" w:cs="Times New Roman"/>
          <w:sz w:val="24"/>
          <w:szCs w:val="24"/>
        </w:rPr>
        <w:footnoteReference w:id="21"/>
      </w:r>
    </w:p>
    <w:p w:rsidR="00F91243" w:rsidRPr="006B178B" w:rsidRDefault="00F91243" w:rsidP="000A4E91">
      <w:pPr>
        <w:pStyle w:val="ListParagraph"/>
        <w:ind w:hanging="720"/>
        <w:rPr>
          <w:rFonts w:ascii="Times New Roman" w:hAnsi="Times New Roman" w:cs="Times New Roman"/>
          <w:sz w:val="24"/>
          <w:szCs w:val="24"/>
        </w:rPr>
      </w:pPr>
    </w:p>
    <w:p w:rsidR="00F91243" w:rsidRPr="006B178B" w:rsidRDefault="0062131B" w:rsidP="000A4E91">
      <w:pPr>
        <w:pStyle w:val="ListParagraph"/>
        <w:numPr>
          <w:ilvl w:val="0"/>
          <w:numId w:val="1"/>
        </w:numPr>
        <w:ind w:hanging="720"/>
        <w:rPr>
          <w:rFonts w:ascii="Times New Roman" w:hAnsi="Times New Roman" w:cs="Times New Roman"/>
          <w:sz w:val="24"/>
          <w:szCs w:val="24"/>
        </w:rPr>
      </w:pPr>
      <w:r w:rsidRPr="006B178B">
        <w:rPr>
          <w:rFonts w:ascii="Times New Roman" w:hAnsi="Times New Roman" w:cs="Times New Roman"/>
          <w:sz w:val="24"/>
          <w:szCs w:val="24"/>
        </w:rPr>
        <w:t xml:space="preserve">The VC failed to take into account the fact that Jack was even denied payment </w:t>
      </w:r>
      <w:r w:rsidR="00987B9C" w:rsidRPr="006B178B">
        <w:rPr>
          <w:rFonts w:ascii="Times New Roman" w:hAnsi="Times New Roman" w:cs="Times New Roman"/>
          <w:sz w:val="24"/>
          <w:szCs w:val="24"/>
        </w:rPr>
        <w:t xml:space="preserve">by his superiors </w:t>
      </w:r>
      <w:r w:rsidRPr="006B178B">
        <w:rPr>
          <w:rFonts w:ascii="Times New Roman" w:hAnsi="Times New Roman" w:cs="Times New Roman"/>
          <w:sz w:val="24"/>
          <w:szCs w:val="24"/>
        </w:rPr>
        <w:t xml:space="preserve">for </w:t>
      </w:r>
      <w:r w:rsidR="00846758" w:rsidRPr="006B178B">
        <w:rPr>
          <w:rFonts w:ascii="Times New Roman" w:hAnsi="Times New Roman" w:cs="Times New Roman"/>
          <w:sz w:val="24"/>
          <w:szCs w:val="24"/>
        </w:rPr>
        <w:t xml:space="preserve">overtime </w:t>
      </w:r>
      <w:r w:rsidR="004C6A89" w:rsidRPr="006B178B">
        <w:rPr>
          <w:rFonts w:ascii="Times New Roman" w:hAnsi="Times New Roman" w:cs="Times New Roman"/>
          <w:sz w:val="24"/>
          <w:szCs w:val="24"/>
        </w:rPr>
        <w:t xml:space="preserve">work </w:t>
      </w:r>
      <w:r w:rsidRPr="006B178B">
        <w:rPr>
          <w:rFonts w:ascii="Times New Roman" w:hAnsi="Times New Roman" w:cs="Times New Roman"/>
          <w:sz w:val="24"/>
          <w:szCs w:val="24"/>
        </w:rPr>
        <w:t>incurred</w:t>
      </w:r>
      <w:r w:rsidR="00941F84" w:rsidRPr="006B178B">
        <w:rPr>
          <w:rFonts w:ascii="Times New Roman" w:hAnsi="Times New Roman" w:cs="Times New Roman"/>
          <w:sz w:val="24"/>
          <w:szCs w:val="24"/>
        </w:rPr>
        <w:t xml:space="preserve"> – overtime </w:t>
      </w:r>
      <w:r w:rsidR="004C6A89" w:rsidRPr="006B178B">
        <w:rPr>
          <w:rFonts w:ascii="Times New Roman" w:hAnsi="Times New Roman" w:cs="Times New Roman"/>
          <w:sz w:val="24"/>
          <w:szCs w:val="24"/>
        </w:rPr>
        <w:t>that he was ordered to do</w:t>
      </w:r>
      <w:r w:rsidR="00987B9C" w:rsidRPr="006B178B">
        <w:rPr>
          <w:rFonts w:ascii="Times New Roman" w:hAnsi="Times New Roman" w:cs="Times New Roman"/>
          <w:sz w:val="24"/>
          <w:szCs w:val="24"/>
        </w:rPr>
        <w:t xml:space="preserve"> by the same superiors</w:t>
      </w:r>
      <w:r w:rsidR="00B516C0" w:rsidRPr="006B178B">
        <w:rPr>
          <w:rFonts w:ascii="Times New Roman" w:hAnsi="Times New Roman" w:cs="Times New Roman"/>
          <w:sz w:val="24"/>
          <w:szCs w:val="24"/>
        </w:rPr>
        <w:t>.</w:t>
      </w:r>
      <w:r w:rsidRPr="006B178B">
        <w:rPr>
          <w:rStyle w:val="FootnoteReference"/>
          <w:rFonts w:ascii="Times New Roman" w:hAnsi="Times New Roman" w:cs="Times New Roman"/>
          <w:sz w:val="24"/>
          <w:szCs w:val="24"/>
        </w:rPr>
        <w:footnoteReference w:id="22"/>
      </w:r>
      <w:r w:rsidR="00987B9C" w:rsidRPr="006B178B">
        <w:rPr>
          <w:rFonts w:ascii="Times New Roman" w:hAnsi="Times New Roman" w:cs="Times New Roman"/>
          <w:sz w:val="24"/>
          <w:szCs w:val="24"/>
        </w:rPr>
        <w:t xml:space="preserve"> How more unreasonable can it possibly get?</w:t>
      </w:r>
    </w:p>
    <w:p w:rsidR="00A61C9B" w:rsidRPr="006B178B" w:rsidRDefault="0062131B" w:rsidP="000A4E91">
      <w:pPr>
        <w:ind w:left="360" w:hanging="360"/>
        <w:rPr>
          <w:rFonts w:ascii="Times New Roman" w:hAnsi="Times New Roman" w:cs="Times New Roman"/>
          <w:b/>
          <w:sz w:val="24"/>
          <w:szCs w:val="24"/>
          <w:u w:val="single"/>
        </w:rPr>
      </w:pPr>
      <w:r w:rsidRPr="006B178B">
        <w:rPr>
          <w:rFonts w:ascii="Times New Roman" w:hAnsi="Times New Roman" w:cs="Times New Roman"/>
          <w:b/>
          <w:sz w:val="24"/>
          <w:szCs w:val="24"/>
          <w:u w:val="single"/>
        </w:rPr>
        <w:t>Patently Unreasonable – Disregarding applicant’s testimony</w:t>
      </w:r>
    </w:p>
    <w:p w:rsidR="00C85E30" w:rsidRPr="006B178B" w:rsidRDefault="0062131B" w:rsidP="000A4E91">
      <w:pPr>
        <w:pStyle w:val="ListParagraph"/>
        <w:numPr>
          <w:ilvl w:val="0"/>
          <w:numId w:val="1"/>
        </w:numPr>
        <w:ind w:hanging="720"/>
        <w:rPr>
          <w:rFonts w:ascii="Times New Roman" w:hAnsi="Times New Roman" w:cs="Times New Roman"/>
          <w:sz w:val="24"/>
          <w:szCs w:val="24"/>
        </w:rPr>
      </w:pPr>
      <w:r w:rsidRPr="006B178B">
        <w:rPr>
          <w:rFonts w:ascii="Times New Roman" w:hAnsi="Times New Roman" w:cs="Times New Roman"/>
          <w:sz w:val="24"/>
          <w:szCs w:val="24"/>
        </w:rPr>
        <w:t>The VC failed to take into account the applicant’s testimony about the treatment he endured. Unfortunately, he applicant’s testimony was not transcribed and only remains in the VC notes. One of the small yet crucial points in the applicant’s testimony was about Sgt. Flindall being irritated whenever the applicant opened his mouth to say something during shift briefings and nodding at the applicant to shut his mouth.</w:t>
      </w:r>
    </w:p>
    <w:p w:rsidR="00DE454C" w:rsidRPr="006B178B" w:rsidRDefault="00DE454C" w:rsidP="000A4E91">
      <w:pPr>
        <w:pStyle w:val="ListParagraph"/>
        <w:autoSpaceDE w:val="0"/>
        <w:autoSpaceDN w:val="0"/>
        <w:adjustRightInd w:val="0"/>
        <w:spacing w:after="0" w:line="240" w:lineRule="auto"/>
        <w:ind w:hanging="720"/>
        <w:rPr>
          <w:rFonts w:ascii="Times New Roman" w:hAnsi="Times New Roman" w:cs="Times New Roman"/>
          <w:sz w:val="24"/>
          <w:szCs w:val="24"/>
        </w:rPr>
      </w:pPr>
    </w:p>
    <w:p w:rsidR="00DE454C" w:rsidRPr="006B178B" w:rsidRDefault="0062131B" w:rsidP="000A4E91">
      <w:pPr>
        <w:rPr>
          <w:rFonts w:ascii="Times New Roman" w:hAnsi="Times New Roman" w:cs="Times New Roman"/>
          <w:b/>
          <w:sz w:val="24"/>
          <w:szCs w:val="24"/>
          <w:u w:val="single"/>
        </w:rPr>
      </w:pPr>
      <w:r w:rsidRPr="006B178B">
        <w:rPr>
          <w:rFonts w:ascii="Times New Roman" w:hAnsi="Times New Roman" w:cs="Times New Roman"/>
          <w:b/>
          <w:sz w:val="24"/>
          <w:szCs w:val="24"/>
          <w:u w:val="single"/>
        </w:rPr>
        <w:t>Patently Unreasonable – August 31, 2009 teleconference</w:t>
      </w:r>
    </w:p>
    <w:p w:rsidR="00836416" w:rsidRPr="006B178B" w:rsidRDefault="0062131B" w:rsidP="000A4E91">
      <w:pPr>
        <w:pStyle w:val="ListParagraph"/>
        <w:numPr>
          <w:ilvl w:val="0"/>
          <w:numId w:val="1"/>
        </w:numPr>
        <w:ind w:hanging="720"/>
        <w:rPr>
          <w:rFonts w:ascii="Times New Roman" w:hAnsi="Times New Roman" w:cs="Times New Roman"/>
          <w:sz w:val="24"/>
          <w:szCs w:val="24"/>
        </w:rPr>
      </w:pPr>
      <w:r w:rsidRPr="006B178B">
        <w:rPr>
          <w:rFonts w:ascii="Times New Roman" w:hAnsi="Times New Roman" w:cs="Times New Roman"/>
          <w:sz w:val="24"/>
          <w:szCs w:val="24"/>
        </w:rPr>
        <w:t xml:space="preserve">The VC </w:t>
      </w:r>
      <w:r w:rsidR="00955A3B" w:rsidRPr="006B178B">
        <w:rPr>
          <w:rFonts w:ascii="Times New Roman" w:hAnsi="Times New Roman" w:cs="Times New Roman"/>
          <w:sz w:val="24"/>
          <w:szCs w:val="24"/>
        </w:rPr>
        <w:t xml:space="preserve">failed to take into account and </w:t>
      </w:r>
      <w:r w:rsidRPr="006B178B">
        <w:rPr>
          <w:rFonts w:ascii="Times New Roman" w:hAnsi="Times New Roman" w:cs="Times New Roman"/>
          <w:sz w:val="24"/>
          <w:szCs w:val="24"/>
        </w:rPr>
        <w:t xml:space="preserve">totally overlooked S/Sgt. Kohen’s testimony and her notes dated August 31, 2009, </w:t>
      </w:r>
      <w:r w:rsidR="002B18E3" w:rsidRPr="006B178B">
        <w:rPr>
          <w:rFonts w:ascii="Times New Roman" w:hAnsi="Times New Roman" w:cs="Times New Roman"/>
          <w:sz w:val="24"/>
          <w:szCs w:val="24"/>
        </w:rPr>
        <w:t>wherein</w:t>
      </w:r>
      <w:r w:rsidRPr="006B178B">
        <w:rPr>
          <w:rFonts w:ascii="Times New Roman" w:hAnsi="Times New Roman" w:cs="Times New Roman"/>
          <w:sz w:val="24"/>
          <w:szCs w:val="24"/>
        </w:rPr>
        <w:t xml:space="preserve"> she documented proof of Flindall’s strong dislike of Jack.</w:t>
      </w:r>
      <w:r w:rsidRPr="006B178B">
        <w:rPr>
          <w:rStyle w:val="FootnoteReference"/>
          <w:rFonts w:ascii="Times New Roman" w:hAnsi="Times New Roman" w:cs="Times New Roman"/>
          <w:sz w:val="24"/>
          <w:szCs w:val="24"/>
        </w:rPr>
        <w:footnoteReference w:id="23"/>
      </w:r>
      <w:r w:rsidRPr="006B178B">
        <w:rPr>
          <w:rFonts w:ascii="Times New Roman" w:hAnsi="Times New Roman" w:cs="Times New Roman"/>
          <w:sz w:val="24"/>
          <w:szCs w:val="24"/>
        </w:rPr>
        <w:t xml:space="preserve"> </w:t>
      </w:r>
      <w:r w:rsidR="002B18E3" w:rsidRPr="006B178B">
        <w:rPr>
          <w:rFonts w:ascii="Times New Roman" w:hAnsi="Times New Roman" w:cs="Times New Roman"/>
          <w:sz w:val="24"/>
          <w:szCs w:val="24"/>
        </w:rPr>
        <w:t xml:space="preserve"> </w:t>
      </w:r>
    </w:p>
    <w:p w:rsidR="0023448B" w:rsidRPr="006B178B" w:rsidRDefault="0062131B" w:rsidP="000A4E91">
      <w:pPr>
        <w:ind w:left="360" w:hanging="360"/>
        <w:rPr>
          <w:rFonts w:ascii="Times New Roman" w:hAnsi="Times New Roman" w:cs="Times New Roman"/>
          <w:b/>
          <w:sz w:val="24"/>
          <w:szCs w:val="24"/>
          <w:u w:val="single"/>
        </w:rPr>
      </w:pPr>
      <w:r w:rsidRPr="006B178B">
        <w:rPr>
          <w:rFonts w:ascii="Times New Roman" w:hAnsi="Times New Roman" w:cs="Times New Roman"/>
          <w:b/>
          <w:sz w:val="24"/>
          <w:szCs w:val="24"/>
          <w:u w:val="single"/>
        </w:rPr>
        <w:t>Patently Unreasonable – Marked for termination</w:t>
      </w:r>
    </w:p>
    <w:p w:rsidR="00B64C6D" w:rsidRPr="006B178B" w:rsidRDefault="0062131B" w:rsidP="000A4E91">
      <w:pPr>
        <w:pStyle w:val="ListParagraph"/>
        <w:numPr>
          <w:ilvl w:val="0"/>
          <w:numId w:val="1"/>
        </w:numPr>
        <w:ind w:hanging="720"/>
        <w:rPr>
          <w:rFonts w:ascii="Times New Roman" w:hAnsi="Times New Roman" w:cs="Times New Roman"/>
          <w:sz w:val="24"/>
          <w:szCs w:val="24"/>
        </w:rPr>
      </w:pPr>
      <w:r w:rsidRPr="006B178B">
        <w:rPr>
          <w:rFonts w:ascii="Times New Roman" w:hAnsi="Times New Roman" w:cs="Times New Roman"/>
          <w:sz w:val="24"/>
          <w:szCs w:val="24"/>
        </w:rPr>
        <w:t xml:space="preserve">The VC failed to take into account and totally overlooked the testimony of Campbell, Flindall and Jack about the meeting that occurred on August </w:t>
      </w:r>
      <w:r w:rsidR="008B00E1" w:rsidRPr="006B178B">
        <w:rPr>
          <w:rFonts w:ascii="Times New Roman" w:hAnsi="Times New Roman" w:cs="Times New Roman"/>
          <w:sz w:val="24"/>
          <w:szCs w:val="24"/>
        </w:rPr>
        <w:t>19</w:t>
      </w:r>
      <w:r w:rsidRPr="006B178B">
        <w:rPr>
          <w:rFonts w:ascii="Times New Roman" w:hAnsi="Times New Roman" w:cs="Times New Roman"/>
          <w:sz w:val="24"/>
          <w:szCs w:val="24"/>
        </w:rPr>
        <w:t xml:space="preserve">, 2009 wherein Jack was told that he would be given every opportunity to succeed by being transferred to </w:t>
      </w:r>
      <w:proofErr w:type="spellStart"/>
      <w:r w:rsidRPr="006B178B">
        <w:rPr>
          <w:rFonts w:ascii="Times New Roman" w:hAnsi="Times New Roman" w:cs="Times New Roman"/>
          <w:sz w:val="24"/>
          <w:szCs w:val="24"/>
        </w:rPr>
        <w:t>Nie’s</w:t>
      </w:r>
      <w:proofErr w:type="spellEnd"/>
      <w:r w:rsidRPr="006B178B">
        <w:rPr>
          <w:rFonts w:ascii="Times New Roman" w:hAnsi="Times New Roman" w:cs="Times New Roman"/>
          <w:sz w:val="24"/>
          <w:szCs w:val="24"/>
        </w:rPr>
        <w:t xml:space="preserve"> supervision September 9, 2009.</w:t>
      </w:r>
      <w:r w:rsidRPr="006B178B">
        <w:rPr>
          <w:rStyle w:val="FootnoteReference"/>
          <w:rFonts w:ascii="Times New Roman" w:hAnsi="Times New Roman" w:cs="Times New Roman"/>
          <w:sz w:val="24"/>
          <w:szCs w:val="24"/>
        </w:rPr>
        <w:footnoteReference w:id="24"/>
      </w:r>
    </w:p>
    <w:p w:rsidR="00D624DF" w:rsidRPr="006B178B" w:rsidRDefault="00D624DF" w:rsidP="000A4E91">
      <w:pPr>
        <w:pStyle w:val="ListParagraph"/>
        <w:ind w:hanging="720"/>
        <w:rPr>
          <w:rFonts w:ascii="Times New Roman" w:hAnsi="Times New Roman" w:cs="Times New Roman"/>
          <w:sz w:val="24"/>
          <w:szCs w:val="24"/>
          <w:highlight w:val="yellow"/>
        </w:rPr>
      </w:pPr>
    </w:p>
    <w:p w:rsidR="00955A3B" w:rsidRPr="006B178B" w:rsidRDefault="0062131B" w:rsidP="000A4E91">
      <w:pPr>
        <w:pStyle w:val="ListParagraph"/>
        <w:numPr>
          <w:ilvl w:val="0"/>
          <w:numId w:val="1"/>
        </w:numPr>
        <w:ind w:hanging="720"/>
        <w:rPr>
          <w:rFonts w:ascii="Times New Roman" w:hAnsi="Times New Roman" w:cs="Times New Roman"/>
          <w:sz w:val="24"/>
          <w:szCs w:val="24"/>
        </w:rPr>
      </w:pPr>
      <w:r w:rsidRPr="006B178B">
        <w:rPr>
          <w:rFonts w:ascii="Times New Roman" w:hAnsi="Times New Roman" w:cs="Times New Roman"/>
          <w:sz w:val="24"/>
          <w:szCs w:val="24"/>
        </w:rPr>
        <w:t xml:space="preserve">The VC failed to take into account and totally overlooked the cross examination of Constable Richard Nie (Nie) wherein he admitted that he began compiling evidence for termination of employment of Jack from the very first day </w:t>
      </w:r>
      <w:r w:rsidR="00987B9C" w:rsidRPr="006B178B">
        <w:rPr>
          <w:rFonts w:ascii="Times New Roman" w:hAnsi="Times New Roman" w:cs="Times New Roman"/>
          <w:sz w:val="24"/>
          <w:szCs w:val="24"/>
        </w:rPr>
        <w:t xml:space="preserve">and within the first hour of </w:t>
      </w:r>
      <w:r w:rsidRPr="006B178B">
        <w:rPr>
          <w:rFonts w:ascii="Times New Roman" w:hAnsi="Times New Roman" w:cs="Times New Roman"/>
          <w:sz w:val="24"/>
          <w:szCs w:val="24"/>
        </w:rPr>
        <w:t xml:space="preserve">working with </w:t>
      </w:r>
      <w:r w:rsidR="00987B9C" w:rsidRPr="006B178B">
        <w:rPr>
          <w:rFonts w:ascii="Times New Roman" w:hAnsi="Times New Roman" w:cs="Times New Roman"/>
          <w:sz w:val="24"/>
          <w:szCs w:val="24"/>
        </w:rPr>
        <w:t xml:space="preserve">Jack on </w:t>
      </w:r>
      <w:r w:rsidRPr="006B178B">
        <w:rPr>
          <w:rFonts w:ascii="Times New Roman" w:hAnsi="Times New Roman" w:cs="Times New Roman"/>
          <w:sz w:val="24"/>
          <w:szCs w:val="24"/>
        </w:rPr>
        <w:t xml:space="preserve">September 9, 2009.  That was </w:t>
      </w:r>
      <w:r w:rsidR="00987B9C" w:rsidRPr="006B178B">
        <w:rPr>
          <w:rFonts w:ascii="Times New Roman" w:hAnsi="Times New Roman" w:cs="Times New Roman"/>
          <w:sz w:val="24"/>
          <w:szCs w:val="24"/>
        </w:rPr>
        <w:t>less than 3</w:t>
      </w:r>
      <w:r w:rsidR="008B00E1" w:rsidRPr="006B178B">
        <w:rPr>
          <w:rFonts w:ascii="Times New Roman" w:hAnsi="Times New Roman" w:cs="Times New Roman"/>
          <w:sz w:val="24"/>
          <w:szCs w:val="24"/>
        </w:rPr>
        <w:t xml:space="preserve"> months </w:t>
      </w:r>
      <w:r w:rsidRPr="006B178B">
        <w:rPr>
          <w:rFonts w:ascii="Times New Roman" w:hAnsi="Times New Roman" w:cs="Times New Roman"/>
          <w:sz w:val="24"/>
          <w:szCs w:val="24"/>
        </w:rPr>
        <w:t xml:space="preserve">prior to </w:t>
      </w:r>
      <w:r w:rsidR="00987B9C" w:rsidRPr="006B178B">
        <w:rPr>
          <w:rFonts w:ascii="Times New Roman" w:hAnsi="Times New Roman" w:cs="Times New Roman"/>
          <w:sz w:val="24"/>
          <w:szCs w:val="24"/>
        </w:rPr>
        <w:t>the decision to terminate Jack</w:t>
      </w:r>
      <w:r w:rsidRPr="006B178B">
        <w:rPr>
          <w:rFonts w:ascii="Times New Roman" w:hAnsi="Times New Roman" w:cs="Times New Roman"/>
          <w:sz w:val="24"/>
          <w:szCs w:val="24"/>
        </w:rPr>
        <w:t>.</w:t>
      </w:r>
      <w:r w:rsidRPr="006B178B">
        <w:rPr>
          <w:rStyle w:val="FootnoteReference"/>
          <w:rFonts w:ascii="Times New Roman" w:hAnsi="Times New Roman" w:cs="Times New Roman"/>
          <w:sz w:val="24"/>
          <w:szCs w:val="24"/>
        </w:rPr>
        <w:footnoteReference w:id="25"/>
      </w:r>
    </w:p>
    <w:p w:rsidR="000A4E91" w:rsidRPr="006B178B" w:rsidRDefault="000A4E91" w:rsidP="000A4E91">
      <w:pPr>
        <w:pStyle w:val="ListParagraph"/>
        <w:ind w:hanging="720"/>
        <w:rPr>
          <w:rFonts w:ascii="Times New Roman" w:hAnsi="Times New Roman" w:cs="Times New Roman"/>
          <w:sz w:val="24"/>
          <w:szCs w:val="24"/>
        </w:rPr>
      </w:pPr>
    </w:p>
    <w:p w:rsidR="00CE6048" w:rsidRPr="006B178B" w:rsidRDefault="00024F3A" w:rsidP="000A4E91">
      <w:pPr>
        <w:pStyle w:val="ListParagraph"/>
        <w:numPr>
          <w:ilvl w:val="0"/>
          <w:numId w:val="1"/>
        </w:numPr>
        <w:ind w:hanging="720"/>
        <w:rPr>
          <w:rFonts w:ascii="Times New Roman" w:hAnsi="Times New Roman" w:cs="Times New Roman"/>
          <w:sz w:val="24"/>
          <w:szCs w:val="24"/>
        </w:rPr>
      </w:pPr>
      <w:r w:rsidRPr="006B178B">
        <w:rPr>
          <w:rFonts w:ascii="Times New Roman" w:hAnsi="Times New Roman" w:cs="Times New Roman"/>
          <w:sz w:val="24"/>
          <w:szCs w:val="24"/>
        </w:rPr>
        <w:lastRenderedPageBreak/>
        <w:t>S/Sgt. Kohen testified that she used Point Form Chronology (PFC)</w:t>
      </w:r>
      <w:r w:rsidRPr="006B178B">
        <w:rPr>
          <w:rStyle w:val="FootnoteReference"/>
          <w:rFonts w:ascii="Times New Roman" w:hAnsi="Times New Roman" w:cs="Times New Roman"/>
          <w:sz w:val="24"/>
          <w:szCs w:val="24"/>
        </w:rPr>
        <w:footnoteReference w:id="26"/>
      </w:r>
      <w:r w:rsidRPr="006B178B">
        <w:rPr>
          <w:rFonts w:ascii="Times New Roman" w:hAnsi="Times New Roman" w:cs="Times New Roman"/>
          <w:sz w:val="24"/>
          <w:szCs w:val="24"/>
        </w:rPr>
        <w:t xml:space="preserve"> document to compile her briefing notes to make recommendation to </w:t>
      </w:r>
      <w:r w:rsidR="0062131B" w:rsidRPr="006B178B">
        <w:rPr>
          <w:rFonts w:ascii="Times New Roman" w:hAnsi="Times New Roman" w:cs="Times New Roman"/>
          <w:sz w:val="24"/>
          <w:szCs w:val="24"/>
        </w:rPr>
        <w:t xml:space="preserve">Chief Superintendent Armstrong </w:t>
      </w:r>
      <w:r w:rsidRPr="006B178B">
        <w:rPr>
          <w:rFonts w:ascii="Times New Roman" w:hAnsi="Times New Roman" w:cs="Times New Roman"/>
          <w:sz w:val="24"/>
          <w:szCs w:val="24"/>
        </w:rPr>
        <w:t>to terminate employment of the applicant</w:t>
      </w:r>
      <w:r w:rsidR="00015A34" w:rsidRPr="006B178B">
        <w:rPr>
          <w:rFonts w:ascii="Times New Roman" w:hAnsi="Times New Roman" w:cs="Times New Roman"/>
          <w:sz w:val="24"/>
          <w:szCs w:val="24"/>
        </w:rPr>
        <w:t>.</w:t>
      </w:r>
      <w:r w:rsidR="0062131B" w:rsidRPr="006B178B">
        <w:rPr>
          <w:rStyle w:val="FootnoteReference"/>
          <w:rFonts w:ascii="Times New Roman" w:hAnsi="Times New Roman" w:cs="Times New Roman"/>
          <w:sz w:val="24"/>
          <w:szCs w:val="24"/>
        </w:rPr>
        <w:footnoteReference w:id="27"/>
      </w:r>
    </w:p>
    <w:p w:rsidR="00CE6048" w:rsidRPr="006B178B" w:rsidRDefault="00CE6048" w:rsidP="000A4E91">
      <w:pPr>
        <w:pStyle w:val="ListParagraph"/>
        <w:ind w:hanging="720"/>
        <w:rPr>
          <w:rFonts w:ascii="Times New Roman" w:hAnsi="Times New Roman" w:cs="Times New Roman"/>
          <w:sz w:val="24"/>
          <w:szCs w:val="24"/>
        </w:rPr>
      </w:pPr>
    </w:p>
    <w:p w:rsidR="00DE2BA0" w:rsidRPr="006B178B" w:rsidRDefault="0062131B" w:rsidP="000A4E91">
      <w:pPr>
        <w:pStyle w:val="ListParagraph"/>
        <w:numPr>
          <w:ilvl w:val="0"/>
          <w:numId w:val="1"/>
        </w:numPr>
        <w:ind w:hanging="720"/>
        <w:rPr>
          <w:rFonts w:ascii="Times New Roman" w:hAnsi="Times New Roman" w:cs="Times New Roman"/>
          <w:sz w:val="24"/>
          <w:szCs w:val="24"/>
        </w:rPr>
      </w:pPr>
      <w:r w:rsidRPr="006B178B">
        <w:rPr>
          <w:rFonts w:ascii="Times New Roman" w:hAnsi="Times New Roman" w:cs="Times New Roman"/>
          <w:sz w:val="24"/>
          <w:szCs w:val="24"/>
        </w:rPr>
        <w:t xml:space="preserve">Filman </w:t>
      </w:r>
      <w:r w:rsidR="00CE6048" w:rsidRPr="006B178B">
        <w:rPr>
          <w:rFonts w:ascii="Times New Roman" w:hAnsi="Times New Roman" w:cs="Times New Roman"/>
          <w:sz w:val="24"/>
          <w:szCs w:val="24"/>
        </w:rPr>
        <w:t xml:space="preserve">even </w:t>
      </w:r>
      <w:r w:rsidRPr="006B178B">
        <w:rPr>
          <w:rFonts w:ascii="Times New Roman" w:hAnsi="Times New Roman" w:cs="Times New Roman"/>
          <w:sz w:val="24"/>
          <w:szCs w:val="24"/>
        </w:rPr>
        <w:t>added false incidents and information just to discredit the applica</w:t>
      </w:r>
      <w:r w:rsidR="00CE6048" w:rsidRPr="006B178B">
        <w:rPr>
          <w:rFonts w:ascii="Times New Roman" w:hAnsi="Times New Roman" w:cs="Times New Roman"/>
          <w:sz w:val="24"/>
          <w:szCs w:val="24"/>
        </w:rPr>
        <w:t>nt and shovel more dirt on him.</w:t>
      </w:r>
      <w:r w:rsidR="00CE6048" w:rsidRPr="006B178B">
        <w:rPr>
          <w:rStyle w:val="FootnoteReference"/>
          <w:rFonts w:ascii="Times New Roman" w:hAnsi="Times New Roman" w:cs="Times New Roman"/>
          <w:sz w:val="24"/>
          <w:szCs w:val="24"/>
        </w:rPr>
        <w:t xml:space="preserve"> </w:t>
      </w:r>
      <w:r w:rsidR="00CE6048" w:rsidRPr="006B178B">
        <w:rPr>
          <w:rStyle w:val="FootnoteReference"/>
          <w:rFonts w:ascii="Times New Roman" w:hAnsi="Times New Roman" w:cs="Times New Roman"/>
          <w:sz w:val="24"/>
          <w:szCs w:val="24"/>
        </w:rPr>
        <w:footnoteReference w:id="28"/>
      </w:r>
    </w:p>
    <w:p w:rsidR="007E4864" w:rsidRPr="006B178B" w:rsidRDefault="007E4864" w:rsidP="000A4E91">
      <w:pPr>
        <w:pStyle w:val="ListParagraph"/>
        <w:tabs>
          <w:tab w:val="left" w:pos="1080"/>
        </w:tabs>
        <w:ind w:left="1080" w:hanging="720"/>
        <w:rPr>
          <w:rFonts w:ascii="Times New Roman" w:hAnsi="Times New Roman" w:cs="Times New Roman"/>
          <w:sz w:val="20"/>
          <w:szCs w:val="20"/>
        </w:rPr>
      </w:pPr>
    </w:p>
    <w:p w:rsidR="001F05EC" w:rsidRPr="006B178B" w:rsidRDefault="0062131B" w:rsidP="000A4E91">
      <w:pPr>
        <w:pStyle w:val="ListParagraph"/>
        <w:numPr>
          <w:ilvl w:val="0"/>
          <w:numId w:val="1"/>
        </w:numPr>
        <w:ind w:hanging="720"/>
        <w:rPr>
          <w:rFonts w:ascii="Times New Roman" w:hAnsi="Times New Roman" w:cs="Times New Roman"/>
          <w:sz w:val="24"/>
          <w:szCs w:val="24"/>
        </w:rPr>
      </w:pPr>
      <w:r w:rsidRPr="006B178B">
        <w:rPr>
          <w:rFonts w:ascii="Times New Roman" w:hAnsi="Times New Roman" w:cs="Times New Roman"/>
          <w:sz w:val="24"/>
          <w:szCs w:val="24"/>
        </w:rPr>
        <w:t>In light of these points (18 to 2</w:t>
      </w:r>
      <w:r w:rsidR="001A1645" w:rsidRPr="006B178B">
        <w:rPr>
          <w:rFonts w:ascii="Times New Roman" w:hAnsi="Times New Roman" w:cs="Times New Roman"/>
          <w:sz w:val="24"/>
          <w:szCs w:val="24"/>
        </w:rPr>
        <w:t>1</w:t>
      </w:r>
      <w:r w:rsidRPr="006B178B">
        <w:rPr>
          <w:rFonts w:ascii="Times New Roman" w:hAnsi="Times New Roman" w:cs="Times New Roman"/>
          <w:sz w:val="24"/>
          <w:szCs w:val="24"/>
        </w:rPr>
        <w:t>) it is patently unreasonable to</w:t>
      </w:r>
      <w:r w:rsidR="001A1645" w:rsidRPr="006B178B">
        <w:rPr>
          <w:rFonts w:ascii="Times New Roman" w:hAnsi="Times New Roman" w:cs="Times New Roman"/>
          <w:sz w:val="24"/>
          <w:szCs w:val="24"/>
        </w:rPr>
        <w:t xml:space="preserve"> attach any credibility to the PFC document. </w:t>
      </w:r>
      <w:r w:rsidRPr="006B178B">
        <w:rPr>
          <w:rFonts w:ascii="Times New Roman" w:hAnsi="Times New Roman" w:cs="Times New Roman"/>
          <w:sz w:val="24"/>
          <w:szCs w:val="24"/>
        </w:rPr>
        <w:t xml:space="preserve">This is something that the VC should have and ought to have picked up had he read through the applicant’s closing submissions, reply submissions and all </w:t>
      </w:r>
      <w:r w:rsidR="001A1645" w:rsidRPr="006B178B">
        <w:rPr>
          <w:rFonts w:ascii="Times New Roman" w:hAnsi="Times New Roman" w:cs="Times New Roman"/>
          <w:sz w:val="24"/>
          <w:szCs w:val="24"/>
        </w:rPr>
        <w:t xml:space="preserve">the </w:t>
      </w:r>
      <w:r w:rsidRPr="006B178B">
        <w:rPr>
          <w:rFonts w:ascii="Times New Roman" w:hAnsi="Times New Roman" w:cs="Times New Roman"/>
          <w:sz w:val="24"/>
          <w:szCs w:val="24"/>
        </w:rPr>
        <w:t xml:space="preserve">referenced materials. </w:t>
      </w:r>
    </w:p>
    <w:p w:rsidR="001F05EC" w:rsidRPr="006B178B" w:rsidRDefault="001F05EC" w:rsidP="000A4E91">
      <w:pPr>
        <w:pStyle w:val="ListParagraph"/>
        <w:ind w:hanging="720"/>
        <w:rPr>
          <w:rFonts w:ascii="Times New Roman" w:hAnsi="Times New Roman" w:cs="Times New Roman"/>
          <w:sz w:val="24"/>
          <w:szCs w:val="24"/>
        </w:rPr>
      </w:pPr>
    </w:p>
    <w:p w:rsidR="00015A34" w:rsidRPr="006B178B" w:rsidRDefault="0062131B" w:rsidP="000A4E91">
      <w:pPr>
        <w:pStyle w:val="ListParagraph"/>
        <w:numPr>
          <w:ilvl w:val="0"/>
          <w:numId w:val="1"/>
        </w:numPr>
        <w:ind w:hanging="720"/>
        <w:rPr>
          <w:rFonts w:ascii="Times New Roman" w:hAnsi="Times New Roman" w:cs="Times New Roman"/>
          <w:sz w:val="24"/>
          <w:szCs w:val="24"/>
        </w:rPr>
      </w:pPr>
      <w:r w:rsidRPr="006B178B">
        <w:rPr>
          <w:rFonts w:ascii="Times New Roman" w:hAnsi="Times New Roman" w:cs="Times New Roman"/>
          <w:sz w:val="24"/>
          <w:szCs w:val="24"/>
        </w:rPr>
        <w:t xml:space="preserve">It was the </w:t>
      </w:r>
      <w:r w:rsidR="007E4864" w:rsidRPr="006B178B">
        <w:rPr>
          <w:rFonts w:ascii="Times New Roman" w:hAnsi="Times New Roman" w:cs="Times New Roman"/>
          <w:sz w:val="24"/>
          <w:szCs w:val="24"/>
        </w:rPr>
        <w:t>VC‘s</w:t>
      </w:r>
      <w:r w:rsidRPr="006B178B">
        <w:rPr>
          <w:rFonts w:ascii="Times New Roman" w:hAnsi="Times New Roman" w:cs="Times New Roman"/>
          <w:sz w:val="24"/>
          <w:szCs w:val="24"/>
        </w:rPr>
        <w:t xml:space="preserve"> duty to provide fair justice and not bring the administration of the HRTO into disrepute. However, it was much less work </w:t>
      </w:r>
      <w:r w:rsidR="007E4864" w:rsidRPr="006B178B">
        <w:rPr>
          <w:rFonts w:ascii="Times New Roman" w:hAnsi="Times New Roman" w:cs="Times New Roman"/>
          <w:sz w:val="24"/>
          <w:szCs w:val="24"/>
        </w:rPr>
        <w:t>and far less stressful to simply focus on the respondent’s version and quote the supportive case law.</w:t>
      </w:r>
    </w:p>
    <w:p w:rsidR="007801AB" w:rsidRPr="006B178B" w:rsidRDefault="0062131B" w:rsidP="000A4E91">
      <w:pPr>
        <w:ind w:left="360" w:hanging="360"/>
        <w:rPr>
          <w:rFonts w:ascii="Times New Roman" w:hAnsi="Times New Roman" w:cs="Times New Roman"/>
          <w:b/>
          <w:sz w:val="24"/>
          <w:szCs w:val="24"/>
          <w:u w:val="single"/>
        </w:rPr>
      </w:pPr>
      <w:r w:rsidRPr="006B178B">
        <w:rPr>
          <w:rFonts w:ascii="Times New Roman" w:hAnsi="Times New Roman" w:cs="Times New Roman"/>
          <w:b/>
          <w:sz w:val="24"/>
          <w:szCs w:val="24"/>
          <w:u w:val="single"/>
        </w:rPr>
        <w:t>Patently Unreasonable – Crazy Ivan</w:t>
      </w:r>
    </w:p>
    <w:p w:rsidR="007801AB" w:rsidRPr="006B178B" w:rsidRDefault="0062131B" w:rsidP="000A4E91">
      <w:pPr>
        <w:pStyle w:val="ListParagraph"/>
        <w:numPr>
          <w:ilvl w:val="0"/>
          <w:numId w:val="1"/>
        </w:numPr>
        <w:ind w:hanging="720"/>
        <w:rPr>
          <w:rFonts w:ascii="Times New Roman" w:hAnsi="Times New Roman" w:cs="Times New Roman"/>
          <w:sz w:val="24"/>
          <w:szCs w:val="24"/>
        </w:rPr>
      </w:pPr>
      <w:r w:rsidRPr="006B178B">
        <w:rPr>
          <w:rFonts w:ascii="Times New Roman" w:hAnsi="Times New Roman" w:cs="Times New Roman"/>
          <w:sz w:val="24"/>
          <w:szCs w:val="24"/>
        </w:rPr>
        <w:t>The VC failed to take into account and totally overlooked Flindall’s testimony about the possible derogatory nature of a nick name of Crazy Ivan given to Jack and addressed his members of its usage and it’s non-compliance of police orders.</w:t>
      </w:r>
      <w:r w:rsidRPr="006B178B">
        <w:rPr>
          <w:rStyle w:val="FootnoteReference"/>
          <w:rFonts w:ascii="Times New Roman" w:hAnsi="Times New Roman" w:cs="Times New Roman"/>
          <w:sz w:val="24"/>
          <w:szCs w:val="24"/>
        </w:rPr>
        <w:footnoteReference w:id="29"/>
      </w:r>
    </w:p>
    <w:p w:rsidR="00B64C6D" w:rsidRPr="006B178B" w:rsidRDefault="00B64C6D" w:rsidP="000A4E91">
      <w:pPr>
        <w:pStyle w:val="ListParagraph"/>
        <w:ind w:hanging="720"/>
        <w:rPr>
          <w:rFonts w:ascii="Times New Roman" w:hAnsi="Times New Roman" w:cs="Times New Roman"/>
          <w:sz w:val="24"/>
          <w:szCs w:val="24"/>
        </w:rPr>
      </w:pPr>
    </w:p>
    <w:p w:rsidR="003920FF" w:rsidRPr="006B178B" w:rsidRDefault="0062131B" w:rsidP="000A4E91">
      <w:pPr>
        <w:pStyle w:val="ListParagraph"/>
        <w:numPr>
          <w:ilvl w:val="0"/>
          <w:numId w:val="1"/>
        </w:numPr>
        <w:ind w:hanging="720"/>
        <w:rPr>
          <w:rFonts w:ascii="Times New Roman" w:hAnsi="Times New Roman" w:cs="Times New Roman"/>
          <w:sz w:val="24"/>
          <w:szCs w:val="24"/>
        </w:rPr>
      </w:pPr>
      <w:r w:rsidRPr="006B178B">
        <w:rPr>
          <w:rFonts w:ascii="Times New Roman" w:hAnsi="Times New Roman" w:cs="Times New Roman"/>
          <w:sz w:val="24"/>
          <w:szCs w:val="24"/>
        </w:rPr>
        <w:t xml:space="preserve">The VC failed to take into account and totally overlooked the testimony of </w:t>
      </w:r>
      <w:proofErr w:type="spellStart"/>
      <w:r w:rsidRPr="006B178B">
        <w:rPr>
          <w:rFonts w:ascii="Times New Roman" w:hAnsi="Times New Roman" w:cs="Times New Roman"/>
          <w:sz w:val="24"/>
          <w:szCs w:val="24"/>
        </w:rPr>
        <w:t>Cst</w:t>
      </w:r>
      <w:proofErr w:type="spellEnd"/>
      <w:r w:rsidRPr="006B178B">
        <w:rPr>
          <w:rFonts w:ascii="Times New Roman" w:hAnsi="Times New Roman" w:cs="Times New Roman"/>
          <w:sz w:val="24"/>
          <w:szCs w:val="24"/>
        </w:rPr>
        <w:t>. Duignan who testified about the usage of the nick name of Crazy Ivan for Jack by members before Jack started working at Peterborough detachment.</w:t>
      </w:r>
      <w:r w:rsidRPr="006B178B">
        <w:rPr>
          <w:rStyle w:val="FootnoteReference"/>
          <w:rFonts w:ascii="Times New Roman" w:hAnsi="Times New Roman" w:cs="Times New Roman"/>
          <w:sz w:val="24"/>
          <w:szCs w:val="24"/>
        </w:rPr>
        <w:footnoteReference w:id="30"/>
      </w:r>
    </w:p>
    <w:p w:rsidR="006F1B7C" w:rsidRPr="006B178B" w:rsidRDefault="0062131B" w:rsidP="000A4E91">
      <w:pPr>
        <w:pStyle w:val="ListParagraph"/>
        <w:numPr>
          <w:ilvl w:val="0"/>
          <w:numId w:val="1"/>
        </w:numPr>
        <w:ind w:hanging="720"/>
        <w:rPr>
          <w:rFonts w:ascii="Times New Roman" w:hAnsi="Times New Roman" w:cs="Times New Roman"/>
          <w:sz w:val="24"/>
          <w:szCs w:val="24"/>
        </w:rPr>
      </w:pPr>
      <w:r w:rsidRPr="006B178B">
        <w:rPr>
          <w:rFonts w:ascii="Times New Roman" w:hAnsi="Times New Roman" w:cs="Times New Roman"/>
          <w:sz w:val="24"/>
          <w:szCs w:val="24"/>
        </w:rPr>
        <w:t xml:space="preserve">The VC failed to take into account and totally overlooked the testimony of Sgt. Jason Postma who testified about the usage of the nick name of Crazy Ivan for Jack by </w:t>
      </w:r>
      <w:r w:rsidR="00C12681" w:rsidRPr="006B178B">
        <w:rPr>
          <w:rFonts w:ascii="Times New Roman" w:hAnsi="Times New Roman" w:cs="Times New Roman"/>
          <w:sz w:val="24"/>
          <w:szCs w:val="24"/>
        </w:rPr>
        <w:t>members while Jack was working albeit not in his presence.</w:t>
      </w:r>
      <w:r w:rsidRPr="006B178B">
        <w:rPr>
          <w:rStyle w:val="FootnoteReference"/>
          <w:rFonts w:ascii="Times New Roman" w:hAnsi="Times New Roman" w:cs="Times New Roman"/>
          <w:sz w:val="24"/>
          <w:szCs w:val="24"/>
        </w:rPr>
        <w:footnoteReference w:id="31"/>
      </w:r>
      <w:r w:rsidRPr="006B178B">
        <w:rPr>
          <w:rFonts w:ascii="Times New Roman" w:hAnsi="Times New Roman" w:cs="Times New Roman"/>
          <w:sz w:val="24"/>
          <w:szCs w:val="24"/>
        </w:rPr>
        <w:t xml:space="preserve"> </w:t>
      </w:r>
    </w:p>
    <w:p w:rsidR="006F1B7C" w:rsidRPr="006B178B" w:rsidRDefault="006F1B7C" w:rsidP="000A4E91">
      <w:pPr>
        <w:pStyle w:val="ListParagraph"/>
        <w:ind w:hanging="720"/>
        <w:rPr>
          <w:rFonts w:ascii="Times New Roman" w:hAnsi="Times New Roman" w:cs="Times New Roman"/>
          <w:sz w:val="24"/>
          <w:szCs w:val="24"/>
        </w:rPr>
      </w:pPr>
    </w:p>
    <w:p w:rsidR="00C12681" w:rsidRPr="006B178B" w:rsidRDefault="0062131B" w:rsidP="000A4E91">
      <w:pPr>
        <w:pStyle w:val="ListParagraph"/>
        <w:numPr>
          <w:ilvl w:val="0"/>
          <w:numId w:val="1"/>
        </w:numPr>
        <w:ind w:hanging="720"/>
        <w:rPr>
          <w:rFonts w:ascii="Times New Roman" w:hAnsi="Times New Roman" w:cs="Times New Roman"/>
          <w:sz w:val="24"/>
          <w:szCs w:val="24"/>
        </w:rPr>
      </w:pPr>
      <w:r w:rsidRPr="006B178B">
        <w:rPr>
          <w:rFonts w:ascii="Times New Roman" w:hAnsi="Times New Roman" w:cs="Times New Roman"/>
          <w:sz w:val="24"/>
          <w:szCs w:val="24"/>
        </w:rPr>
        <w:t xml:space="preserve">The VC failed to take into account and totally disregarded the testimony </w:t>
      </w:r>
      <w:r w:rsidR="00C9539A" w:rsidRPr="006B178B">
        <w:rPr>
          <w:rFonts w:ascii="Times New Roman" w:hAnsi="Times New Roman" w:cs="Times New Roman"/>
          <w:sz w:val="24"/>
          <w:szCs w:val="24"/>
        </w:rPr>
        <w:t>of</w:t>
      </w:r>
      <w:r w:rsidRPr="006B178B">
        <w:rPr>
          <w:rFonts w:ascii="Times New Roman" w:hAnsi="Times New Roman" w:cs="Times New Roman"/>
          <w:sz w:val="24"/>
          <w:szCs w:val="24"/>
        </w:rPr>
        <w:t xml:space="preserve"> Jack about how derogatory he found such a nickname.</w:t>
      </w:r>
      <w:r w:rsidRPr="006B178B">
        <w:rPr>
          <w:rStyle w:val="FootnoteReference"/>
          <w:rFonts w:ascii="Times New Roman" w:hAnsi="Times New Roman" w:cs="Times New Roman"/>
          <w:sz w:val="24"/>
          <w:szCs w:val="24"/>
        </w:rPr>
        <w:footnoteReference w:id="32"/>
      </w:r>
    </w:p>
    <w:p w:rsidR="00015A34" w:rsidRPr="006B178B" w:rsidRDefault="00015A34" w:rsidP="000A4E91">
      <w:pPr>
        <w:pStyle w:val="ListParagraph"/>
        <w:ind w:hanging="720"/>
        <w:rPr>
          <w:rFonts w:ascii="Times New Roman" w:hAnsi="Times New Roman" w:cs="Times New Roman"/>
          <w:sz w:val="24"/>
          <w:szCs w:val="24"/>
        </w:rPr>
      </w:pPr>
    </w:p>
    <w:p w:rsidR="00D624DF" w:rsidRPr="006B178B" w:rsidRDefault="0062131B" w:rsidP="000A4E91">
      <w:pPr>
        <w:pStyle w:val="ListParagraph"/>
        <w:numPr>
          <w:ilvl w:val="0"/>
          <w:numId w:val="1"/>
        </w:numPr>
        <w:ind w:hanging="720"/>
        <w:rPr>
          <w:rFonts w:ascii="Times New Roman" w:hAnsi="Times New Roman" w:cs="Times New Roman"/>
          <w:sz w:val="24"/>
          <w:szCs w:val="24"/>
        </w:rPr>
      </w:pPr>
      <w:r w:rsidRPr="006B178B">
        <w:rPr>
          <w:rFonts w:ascii="Times New Roman" w:hAnsi="Times New Roman" w:cs="Times New Roman"/>
          <w:sz w:val="24"/>
          <w:szCs w:val="24"/>
        </w:rPr>
        <w:t>The VC did focus on the fact that Jack was not aware of the nickname until many months after his termination from employment. Herein, the VC acknowledges the use of that nickname and that it was u</w:t>
      </w:r>
      <w:r w:rsidR="000A4E91" w:rsidRPr="006B178B">
        <w:rPr>
          <w:rFonts w:ascii="Times New Roman" w:hAnsi="Times New Roman" w:cs="Times New Roman"/>
          <w:sz w:val="24"/>
          <w:szCs w:val="24"/>
        </w:rPr>
        <w:t xml:space="preserve">sed behind Jack’s back. Like in </w:t>
      </w:r>
      <w:r w:rsidR="000A4E91" w:rsidRPr="006B178B">
        <w:rPr>
          <w:rFonts w:ascii="Times New Roman" w:hAnsi="Times New Roman" w:cs="Times New Roman"/>
          <w:i/>
          <w:sz w:val="24"/>
          <w:szCs w:val="24"/>
        </w:rPr>
        <w:t>Shaw v. Phipps, 2012 ONCA 155,</w:t>
      </w:r>
      <w:r w:rsidRPr="006B178B">
        <w:rPr>
          <w:rFonts w:ascii="Times New Roman" w:hAnsi="Times New Roman" w:cs="Times New Roman"/>
          <w:sz w:val="24"/>
          <w:szCs w:val="24"/>
          <w:highlight w:val="yellow"/>
        </w:rPr>
        <w:t xml:space="preserve"> </w:t>
      </w:r>
      <w:r w:rsidRPr="006B178B">
        <w:rPr>
          <w:rFonts w:ascii="Times New Roman" w:hAnsi="Times New Roman" w:cs="Times New Roman"/>
          <w:sz w:val="24"/>
          <w:szCs w:val="24"/>
        </w:rPr>
        <w:t xml:space="preserve">race and ancestry were the prohibited grounds and the adverse effects were the testimony of </w:t>
      </w:r>
      <w:r w:rsidRPr="006B178B">
        <w:rPr>
          <w:rFonts w:ascii="Times New Roman" w:hAnsi="Times New Roman" w:cs="Times New Roman"/>
          <w:sz w:val="24"/>
          <w:szCs w:val="24"/>
        </w:rPr>
        <w:lastRenderedPageBreak/>
        <w:t xml:space="preserve">Jack and the volumes of documentary evidence as referenced </w:t>
      </w:r>
      <w:r w:rsidR="009F1B99" w:rsidRPr="006B178B">
        <w:rPr>
          <w:rFonts w:ascii="Times New Roman" w:hAnsi="Times New Roman" w:cs="Times New Roman"/>
          <w:sz w:val="24"/>
          <w:szCs w:val="24"/>
        </w:rPr>
        <w:t xml:space="preserve">on the </w:t>
      </w:r>
      <w:hyperlink w:history="1">
        <w:r w:rsidR="009F1B99" w:rsidRPr="006B178B">
          <w:rPr>
            <w:rStyle w:val="Hyperlink"/>
            <w:rFonts w:ascii="Times New Roman" w:hAnsi="Times New Roman" w:cs="Times New Roman"/>
            <w:sz w:val="24"/>
            <w:szCs w:val="24"/>
          </w:rPr>
          <w:t>www.racisminopp.org</w:t>
        </w:r>
      </w:hyperlink>
      <w:r w:rsidR="009F1B99" w:rsidRPr="006B178B">
        <w:rPr>
          <w:rFonts w:ascii="Times New Roman" w:hAnsi="Times New Roman" w:cs="Times New Roman"/>
          <w:sz w:val="24"/>
          <w:szCs w:val="24"/>
        </w:rPr>
        <w:t xml:space="preserve"> web</w:t>
      </w:r>
      <w:r w:rsidRPr="006B178B">
        <w:rPr>
          <w:rFonts w:ascii="Times New Roman" w:hAnsi="Times New Roman" w:cs="Times New Roman"/>
          <w:sz w:val="24"/>
          <w:szCs w:val="24"/>
        </w:rPr>
        <w:t xml:space="preserve"> site.</w:t>
      </w:r>
      <w:r w:rsidRPr="006B178B">
        <w:rPr>
          <w:rStyle w:val="FootnoteReference"/>
          <w:rFonts w:ascii="Times New Roman" w:hAnsi="Times New Roman" w:cs="Times New Roman"/>
          <w:sz w:val="24"/>
          <w:szCs w:val="24"/>
        </w:rPr>
        <w:footnoteReference w:id="33"/>
      </w:r>
    </w:p>
    <w:p w:rsidR="00D624DF" w:rsidRPr="006B178B" w:rsidRDefault="00D624DF" w:rsidP="000A4E91">
      <w:pPr>
        <w:pStyle w:val="ListParagraph"/>
        <w:ind w:hanging="720"/>
        <w:rPr>
          <w:rFonts w:ascii="Times New Roman" w:hAnsi="Times New Roman" w:cs="Times New Roman"/>
          <w:sz w:val="24"/>
          <w:szCs w:val="24"/>
        </w:rPr>
      </w:pPr>
    </w:p>
    <w:p w:rsidR="00941A22" w:rsidRPr="006B178B" w:rsidRDefault="0062131B" w:rsidP="000A4E91">
      <w:pPr>
        <w:rPr>
          <w:rFonts w:ascii="Times New Roman" w:hAnsi="Times New Roman" w:cs="Times New Roman"/>
          <w:b/>
          <w:sz w:val="24"/>
          <w:szCs w:val="24"/>
          <w:u w:val="single"/>
        </w:rPr>
      </w:pPr>
      <w:r w:rsidRPr="006B178B">
        <w:rPr>
          <w:rFonts w:ascii="Times New Roman" w:hAnsi="Times New Roman" w:cs="Times New Roman"/>
          <w:b/>
          <w:sz w:val="24"/>
          <w:szCs w:val="24"/>
          <w:u w:val="single"/>
        </w:rPr>
        <w:t>Patently Unreasonable – Refusal to sign Performance Evaluation Reports</w:t>
      </w:r>
    </w:p>
    <w:p w:rsidR="00941A22" w:rsidRPr="006B178B" w:rsidRDefault="0062131B" w:rsidP="000A4E91">
      <w:pPr>
        <w:pStyle w:val="ListParagraph"/>
        <w:numPr>
          <w:ilvl w:val="0"/>
          <w:numId w:val="1"/>
        </w:numPr>
        <w:ind w:hanging="720"/>
        <w:rPr>
          <w:rFonts w:ascii="Times New Roman" w:hAnsi="Times New Roman" w:cs="Times New Roman"/>
          <w:sz w:val="24"/>
          <w:szCs w:val="24"/>
        </w:rPr>
      </w:pPr>
      <w:r w:rsidRPr="006B178B">
        <w:rPr>
          <w:rFonts w:ascii="Times New Roman" w:hAnsi="Times New Roman" w:cs="Times New Roman"/>
          <w:sz w:val="24"/>
          <w:szCs w:val="24"/>
        </w:rPr>
        <w:t xml:space="preserve">The VC failed to take into account and totally overlooked the testimony and cross of Jack wherein he </w:t>
      </w:r>
      <w:r w:rsidR="000E2C21" w:rsidRPr="006B178B">
        <w:rPr>
          <w:rFonts w:ascii="Times New Roman" w:hAnsi="Times New Roman" w:cs="Times New Roman"/>
          <w:sz w:val="24"/>
          <w:szCs w:val="24"/>
        </w:rPr>
        <w:t>testified</w:t>
      </w:r>
      <w:r w:rsidRPr="006B178B">
        <w:rPr>
          <w:rFonts w:ascii="Times New Roman" w:hAnsi="Times New Roman" w:cs="Times New Roman"/>
          <w:sz w:val="24"/>
          <w:szCs w:val="24"/>
        </w:rPr>
        <w:t xml:space="preserve"> that he never refused to sign any of his Performance Evaluation Reports (PERs)</w:t>
      </w:r>
      <w:r w:rsidR="00FB7968" w:rsidRPr="006B178B">
        <w:rPr>
          <w:rFonts w:ascii="Times New Roman" w:hAnsi="Times New Roman" w:cs="Times New Roman"/>
          <w:sz w:val="24"/>
          <w:szCs w:val="24"/>
        </w:rPr>
        <w:t>.</w:t>
      </w:r>
      <w:r w:rsidRPr="006B178B">
        <w:rPr>
          <w:rStyle w:val="FootnoteReference"/>
          <w:rFonts w:ascii="Times New Roman" w:hAnsi="Times New Roman" w:cs="Times New Roman"/>
          <w:sz w:val="24"/>
          <w:szCs w:val="24"/>
        </w:rPr>
        <w:footnoteReference w:id="34"/>
      </w:r>
    </w:p>
    <w:p w:rsidR="00B64C6D" w:rsidRPr="006B178B" w:rsidRDefault="00B64C6D" w:rsidP="000A4E91">
      <w:pPr>
        <w:pStyle w:val="ListParagraph"/>
        <w:ind w:hanging="720"/>
        <w:rPr>
          <w:rFonts w:ascii="Times New Roman" w:hAnsi="Times New Roman" w:cs="Times New Roman"/>
          <w:sz w:val="24"/>
          <w:szCs w:val="24"/>
        </w:rPr>
      </w:pPr>
    </w:p>
    <w:p w:rsidR="00941A22" w:rsidRPr="006B178B" w:rsidRDefault="0062131B" w:rsidP="000A4E91">
      <w:pPr>
        <w:pStyle w:val="ListParagraph"/>
        <w:numPr>
          <w:ilvl w:val="0"/>
          <w:numId w:val="1"/>
        </w:numPr>
        <w:ind w:hanging="720"/>
        <w:rPr>
          <w:rFonts w:ascii="Times New Roman" w:hAnsi="Times New Roman" w:cs="Times New Roman"/>
          <w:sz w:val="24"/>
          <w:szCs w:val="24"/>
        </w:rPr>
      </w:pPr>
      <w:r w:rsidRPr="006B178B">
        <w:rPr>
          <w:rFonts w:ascii="Times New Roman" w:hAnsi="Times New Roman" w:cs="Times New Roman"/>
          <w:sz w:val="24"/>
          <w:szCs w:val="24"/>
        </w:rPr>
        <w:t xml:space="preserve">The VC failed to take into account and totally overlooked the testimony of Sgt. </w:t>
      </w:r>
      <w:r w:rsidR="002B18E3" w:rsidRPr="006B178B">
        <w:rPr>
          <w:rFonts w:ascii="Times New Roman" w:hAnsi="Times New Roman" w:cs="Times New Roman"/>
          <w:sz w:val="24"/>
          <w:szCs w:val="24"/>
        </w:rPr>
        <w:t>Butorac</w:t>
      </w:r>
      <w:r w:rsidRPr="006B178B">
        <w:rPr>
          <w:rFonts w:ascii="Times New Roman" w:hAnsi="Times New Roman" w:cs="Times New Roman"/>
          <w:sz w:val="24"/>
          <w:szCs w:val="24"/>
        </w:rPr>
        <w:t xml:space="preserve"> </w:t>
      </w:r>
      <w:r w:rsidR="002B18E3" w:rsidRPr="006B178B">
        <w:rPr>
          <w:rFonts w:ascii="Times New Roman" w:hAnsi="Times New Roman" w:cs="Times New Roman"/>
          <w:sz w:val="24"/>
          <w:szCs w:val="24"/>
        </w:rPr>
        <w:t>wherein he said that when Jack told him that he was ready to sign the PER that Butorac looked for the PER</w:t>
      </w:r>
      <w:r w:rsidR="000E2C21" w:rsidRPr="006B178B">
        <w:rPr>
          <w:rFonts w:ascii="Times New Roman" w:hAnsi="Times New Roman" w:cs="Times New Roman"/>
          <w:sz w:val="24"/>
          <w:szCs w:val="24"/>
        </w:rPr>
        <w:t>,</w:t>
      </w:r>
      <w:r w:rsidR="002B18E3" w:rsidRPr="006B178B">
        <w:rPr>
          <w:rFonts w:ascii="Times New Roman" w:hAnsi="Times New Roman" w:cs="Times New Roman"/>
          <w:sz w:val="24"/>
          <w:szCs w:val="24"/>
        </w:rPr>
        <w:t xml:space="preserve"> but could not find it and that PER which was entered as an exhibit did b</w:t>
      </w:r>
      <w:r w:rsidR="000E2C21" w:rsidRPr="006B178B">
        <w:rPr>
          <w:rFonts w:ascii="Times New Roman" w:hAnsi="Times New Roman" w:cs="Times New Roman"/>
          <w:sz w:val="24"/>
          <w:szCs w:val="24"/>
        </w:rPr>
        <w:t>ear</w:t>
      </w:r>
      <w:r w:rsidR="002B18E3" w:rsidRPr="006B178B">
        <w:rPr>
          <w:rFonts w:ascii="Times New Roman" w:hAnsi="Times New Roman" w:cs="Times New Roman"/>
          <w:sz w:val="24"/>
          <w:szCs w:val="24"/>
        </w:rPr>
        <w:t xml:space="preserve"> the signature wording ‘REFUSED’.</w:t>
      </w:r>
      <w:r w:rsidRPr="006B178B">
        <w:rPr>
          <w:rStyle w:val="FootnoteReference"/>
          <w:rFonts w:ascii="Times New Roman" w:hAnsi="Times New Roman" w:cs="Times New Roman"/>
          <w:sz w:val="24"/>
          <w:szCs w:val="24"/>
        </w:rPr>
        <w:footnoteReference w:id="35"/>
      </w:r>
    </w:p>
    <w:p w:rsidR="00B64C6D" w:rsidRPr="006B178B" w:rsidRDefault="00B64C6D" w:rsidP="000A4E91">
      <w:pPr>
        <w:pStyle w:val="ListParagraph"/>
        <w:ind w:hanging="720"/>
        <w:rPr>
          <w:rFonts w:ascii="Times New Roman" w:hAnsi="Times New Roman" w:cs="Times New Roman"/>
          <w:sz w:val="24"/>
          <w:szCs w:val="24"/>
        </w:rPr>
      </w:pPr>
    </w:p>
    <w:p w:rsidR="008573D0" w:rsidRPr="006B178B" w:rsidRDefault="0062131B" w:rsidP="000A4E91">
      <w:pPr>
        <w:pStyle w:val="ListParagraph"/>
        <w:numPr>
          <w:ilvl w:val="0"/>
          <w:numId w:val="1"/>
        </w:numPr>
        <w:ind w:hanging="720"/>
        <w:rPr>
          <w:rFonts w:ascii="Times New Roman" w:hAnsi="Times New Roman" w:cs="Times New Roman"/>
          <w:sz w:val="24"/>
          <w:szCs w:val="24"/>
        </w:rPr>
      </w:pPr>
      <w:r w:rsidRPr="006B178B">
        <w:rPr>
          <w:rFonts w:ascii="Times New Roman" w:hAnsi="Times New Roman" w:cs="Times New Roman"/>
          <w:sz w:val="24"/>
          <w:szCs w:val="24"/>
        </w:rPr>
        <w:t>The testimony of Butor</w:t>
      </w:r>
      <w:r w:rsidR="00B64C6D" w:rsidRPr="006B178B">
        <w:rPr>
          <w:rFonts w:ascii="Times New Roman" w:hAnsi="Times New Roman" w:cs="Times New Roman"/>
          <w:sz w:val="24"/>
          <w:szCs w:val="24"/>
        </w:rPr>
        <w:t xml:space="preserve">ac here is cogent and totally contrary to the position of the VC wherein he states that Jack refused to sign some of his </w:t>
      </w:r>
      <w:proofErr w:type="spellStart"/>
      <w:r w:rsidR="00B64C6D" w:rsidRPr="006B178B">
        <w:rPr>
          <w:rFonts w:ascii="Times New Roman" w:hAnsi="Times New Roman" w:cs="Times New Roman"/>
          <w:sz w:val="24"/>
          <w:szCs w:val="24"/>
        </w:rPr>
        <w:t>PERs.</w:t>
      </w:r>
      <w:proofErr w:type="spellEnd"/>
      <w:r w:rsidRPr="006B178B">
        <w:rPr>
          <w:rStyle w:val="FootnoteReference"/>
          <w:rFonts w:ascii="Times New Roman" w:hAnsi="Times New Roman" w:cs="Times New Roman"/>
          <w:sz w:val="24"/>
          <w:szCs w:val="24"/>
        </w:rPr>
        <w:footnoteReference w:id="36"/>
      </w:r>
    </w:p>
    <w:p w:rsidR="008573D0" w:rsidRPr="006B178B" w:rsidRDefault="008573D0" w:rsidP="000A4E91">
      <w:pPr>
        <w:pStyle w:val="ListParagraph"/>
        <w:ind w:hanging="720"/>
        <w:rPr>
          <w:rFonts w:ascii="Times New Roman" w:hAnsi="Times New Roman" w:cs="Times New Roman"/>
          <w:sz w:val="24"/>
          <w:szCs w:val="24"/>
        </w:rPr>
      </w:pPr>
    </w:p>
    <w:p w:rsidR="00F21BFF" w:rsidRPr="006B178B" w:rsidRDefault="0062131B" w:rsidP="000A4E91">
      <w:pPr>
        <w:pStyle w:val="ListParagraph"/>
        <w:numPr>
          <w:ilvl w:val="0"/>
          <w:numId w:val="1"/>
        </w:numPr>
        <w:ind w:hanging="720"/>
        <w:rPr>
          <w:rFonts w:ascii="Times New Roman" w:hAnsi="Times New Roman" w:cs="Times New Roman"/>
          <w:sz w:val="24"/>
          <w:szCs w:val="24"/>
        </w:rPr>
      </w:pPr>
      <w:r w:rsidRPr="006B178B">
        <w:rPr>
          <w:rFonts w:ascii="Times New Roman" w:hAnsi="Times New Roman" w:cs="Times New Roman"/>
          <w:sz w:val="24"/>
          <w:szCs w:val="24"/>
        </w:rPr>
        <w:t>The VC has failed to take into account and totally overlooked Jack’s two pages of missing officer notes</w:t>
      </w:r>
      <w:r w:rsidRPr="006B178B">
        <w:rPr>
          <w:rStyle w:val="FootnoteReference"/>
          <w:rFonts w:ascii="Times New Roman" w:hAnsi="Times New Roman" w:cs="Times New Roman"/>
          <w:sz w:val="24"/>
          <w:szCs w:val="24"/>
        </w:rPr>
        <w:footnoteReference w:id="37"/>
      </w:r>
      <w:r w:rsidR="0080361A" w:rsidRPr="006B178B">
        <w:rPr>
          <w:rFonts w:ascii="Times New Roman" w:hAnsi="Times New Roman" w:cs="Times New Roman"/>
          <w:sz w:val="24"/>
          <w:szCs w:val="24"/>
        </w:rPr>
        <w:t xml:space="preserve"> </w:t>
      </w:r>
      <w:r w:rsidRPr="006B178B">
        <w:rPr>
          <w:rFonts w:ascii="Times New Roman" w:hAnsi="Times New Roman" w:cs="Times New Roman"/>
          <w:sz w:val="24"/>
          <w:szCs w:val="24"/>
        </w:rPr>
        <w:t xml:space="preserve">that was withheld by the respondent since the start of the hearing and not disclosed until September 15, 2016 and </w:t>
      </w:r>
      <w:r w:rsidR="005B0E07" w:rsidRPr="006B178B">
        <w:rPr>
          <w:rFonts w:ascii="Times New Roman" w:hAnsi="Times New Roman" w:cs="Times New Roman"/>
          <w:sz w:val="24"/>
          <w:szCs w:val="24"/>
        </w:rPr>
        <w:t xml:space="preserve">disclosed only </w:t>
      </w:r>
      <w:r w:rsidRPr="006B178B">
        <w:rPr>
          <w:rFonts w:ascii="Times New Roman" w:hAnsi="Times New Roman" w:cs="Times New Roman"/>
          <w:sz w:val="24"/>
          <w:szCs w:val="24"/>
        </w:rPr>
        <w:t>after numerous demands by the applicant</w:t>
      </w:r>
      <w:r w:rsidR="0080361A" w:rsidRPr="006B178B">
        <w:rPr>
          <w:rFonts w:ascii="Times New Roman" w:hAnsi="Times New Roman" w:cs="Times New Roman"/>
          <w:sz w:val="24"/>
          <w:szCs w:val="24"/>
        </w:rPr>
        <w:t xml:space="preserve"> </w:t>
      </w:r>
      <w:r w:rsidRPr="006B178B">
        <w:rPr>
          <w:rFonts w:ascii="Times New Roman" w:hAnsi="Times New Roman" w:cs="Times New Roman"/>
          <w:sz w:val="24"/>
          <w:szCs w:val="24"/>
        </w:rPr>
        <w:t xml:space="preserve">which conclusively shows the applicant was on his days off duty when his </w:t>
      </w:r>
      <w:r w:rsidR="00C37F84" w:rsidRPr="006B178B">
        <w:rPr>
          <w:rFonts w:ascii="Times New Roman" w:hAnsi="Times New Roman" w:cs="Times New Roman"/>
          <w:sz w:val="24"/>
          <w:szCs w:val="24"/>
        </w:rPr>
        <w:t xml:space="preserve">alleged </w:t>
      </w:r>
      <w:r w:rsidRPr="006B178B">
        <w:rPr>
          <w:rFonts w:ascii="Times New Roman" w:hAnsi="Times New Roman" w:cs="Times New Roman"/>
          <w:sz w:val="24"/>
          <w:szCs w:val="24"/>
        </w:rPr>
        <w:t xml:space="preserve">refusal to sign his PER8 report was </w:t>
      </w:r>
      <w:r w:rsidR="00C37F84" w:rsidRPr="006B178B">
        <w:rPr>
          <w:rFonts w:ascii="Times New Roman" w:hAnsi="Times New Roman" w:cs="Times New Roman"/>
          <w:sz w:val="24"/>
          <w:szCs w:val="24"/>
        </w:rPr>
        <w:t xml:space="preserve">flagrantly </w:t>
      </w:r>
      <w:r w:rsidRPr="006B178B">
        <w:rPr>
          <w:rFonts w:ascii="Times New Roman" w:hAnsi="Times New Roman" w:cs="Times New Roman"/>
          <w:sz w:val="24"/>
          <w:szCs w:val="24"/>
        </w:rPr>
        <w:t>fabricated.</w:t>
      </w:r>
      <w:r w:rsidRPr="006B178B">
        <w:rPr>
          <w:rStyle w:val="FootnoteReference"/>
          <w:rFonts w:ascii="Times New Roman" w:hAnsi="Times New Roman" w:cs="Times New Roman"/>
          <w:sz w:val="24"/>
          <w:szCs w:val="24"/>
        </w:rPr>
        <w:footnoteReference w:id="38"/>
      </w:r>
    </w:p>
    <w:p w:rsidR="00E50D1E" w:rsidRPr="006B178B" w:rsidRDefault="0062131B" w:rsidP="000A4E91">
      <w:pPr>
        <w:ind w:left="360" w:hanging="360"/>
        <w:rPr>
          <w:rFonts w:ascii="Times New Roman" w:hAnsi="Times New Roman" w:cs="Times New Roman"/>
          <w:b/>
          <w:sz w:val="24"/>
          <w:szCs w:val="24"/>
          <w:u w:val="single"/>
        </w:rPr>
      </w:pPr>
      <w:r w:rsidRPr="006B178B">
        <w:rPr>
          <w:rFonts w:ascii="Times New Roman" w:hAnsi="Times New Roman" w:cs="Times New Roman"/>
          <w:b/>
          <w:sz w:val="24"/>
          <w:szCs w:val="24"/>
          <w:u w:val="single"/>
        </w:rPr>
        <w:t xml:space="preserve">Patently Unreasonable – </w:t>
      </w:r>
      <w:r w:rsidR="00E42EEF" w:rsidRPr="006B178B">
        <w:rPr>
          <w:rFonts w:ascii="Times New Roman" w:hAnsi="Times New Roman" w:cs="Times New Roman"/>
          <w:b/>
          <w:sz w:val="24"/>
          <w:szCs w:val="24"/>
          <w:u w:val="single"/>
        </w:rPr>
        <w:t xml:space="preserve">The HRTO </w:t>
      </w:r>
      <w:r w:rsidR="000717BC" w:rsidRPr="006B178B">
        <w:rPr>
          <w:rFonts w:ascii="Times New Roman" w:hAnsi="Times New Roman" w:cs="Times New Roman"/>
          <w:b/>
          <w:sz w:val="24"/>
          <w:szCs w:val="24"/>
          <w:u w:val="single"/>
        </w:rPr>
        <w:t>decision</w:t>
      </w:r>
      <w:r w:rsidR="00E42EEF" w:rsidRPr="006B178B">
        <w:rPr>
          <w:rFonts w:ascii="Times New Roman" w:hAnsi="Times New Roman" w:cs="Times New Roman"/>
          <w:b/>
          <w:sz w:val="24"/>
          <w:szCs w:val="24"/>
          <w:u w:val="single"/>
        </w:rPr>
        <w:t xml:space="preserve"> and </w:t>
      </w:r>
      <w:r w:rsidRPr="006B178B">
        <w:rPr>
          <w:rFonts w:ascii="Times New Roman" w:hAnsi="Times New Roman" w:cs="Times New Roman"/>
          <w:b/>
          <w:sz w:val="24"/>
          <w:szCs w:val="24"/>
          <w:u w:val="single"/>
        </w:rPr>
        <w:t>The Bias of the Vice Chair</w:t>
      </w:r>
    </w:p>
    <w:p w:rsidR="000717BC" w:rsidRPr="006B178B" w:rsidRDefault="0062131B" w:rsidP="000A4E91">
      <w:pPr>
        <w:pStyle w:val="ListParagraph"/>
        <w:numPr>
          <w:ilvl w:val="0"/>
          <w:numId w:val="1"/>
        </w:numPr>
        <w:ind w:hanging="720"/>
        <w:rPr>
          <w:rFonts w:ascii="Times New Roman" w:hAnsi="Times New Roman" w:cs="Times New Roman"/>
          <w:sz w:val="24"/>
          <w:szCs w:val="24"/>
        </w:rPr>
      </w:pPr>
      <w:r w:rsidRPr="006B178B">
        <w:rPr>
          <w:rFonts w:ascii="Times New Roman" w:hAnsi="Times New Roman" w:cs="Times New Roman"/>
          <w:sz w:val="24"/>
          <w:szCs w:val="24"/>
        </w:rPr>
        <w:t>It is apparent from the decision that any evidence that is detrimental to the respondent is either omitted like it never existed or dismissed as unreliable. According to the VC the applicant, who is a mature and well educated individual (trilingual and with Master’s degree in science), just dreamed the whole thing up and then dedicated 7 years of his life pursuing his “dream”.</w:t>
      </w:r>
      <w:r w:rsidRPr="006B178B">
        <w:rPr>
          <w:rStyle w:val="FootnoteReference"/>
          <w:rFonts w:ascii="Times New Roman" w:hAnsi="Times New Roman" w:cs="Times New Roman"/>
          <w:sz w:val="24"/>
          <w:szCs w:val="24"/>
        </w:rPr>
        <w:footnoteReference w:id="39"/>
      </w:r>
      <w:r w:rsidRPr="006B178B">
        <w:rPr>
          <w:rFonts w:ascii="Times New Roman" w:hAnsi="Times New Roman" w:cs="Times New Roman"/>
          <w:sz w:val="24"/>
          <w:szCs w:val="24"/>
        </w:rPr>
        <w:t xml:space="preserve"> </w:t>
      </w:r>
    </w:p>
    <w:p w:rsidR="000717BC" w:rsidRPr="006B178B" w:rsidRDefault="000717BC" w:rsidP="000A4E91">
      <w:pPr>
        <w:pStyle w:val="ListParagraph"/>
        <w:ind w:hanging="720"/>
        <w:rPr>
          <w:rFonts w:ascii="Times New Roman" w:hAnsi="Times New Roman" w:cs="Times New Roman"/>
          <w:sz w:val="24"/>
          <w:szCs w:val="24"/>
        </w:rPr>
      </w:pPr>
    </w:p>
    <w:p w:rsidR="00E42EEF" w:rsidRPr="006B178B" w:rsidRDefault="0062131B" w:rsidP="000A4E91">
      <w:pPr>
        <w:pStyle w:val="ListParagraph"/>
        <w:numPr>
          <w:ilvl w:val="0"/>
          <w:numId w:val="1"/>
        </w:numPr>
        <w:ind w:hanging="720"/>
        <w:rPr>
          <w:rFonts w:ascii="Times New Roman" w:hAnsi="Times New Roman" w:cs="Times New Roman"/>
          <w:sz w:val="24"/>
          <w:szCs w:val="24"/>
        </w:rPr>
      </w:pPr>
      <w:r w:rsidRPr="006B178B">
        <w:rPr>
          <w:rFonts w:ascii="Times New Roman" w:hAnsi="Times New Roman" w:cs="Times New Roman"/>
          <w:sz w:val="24"/>
          <w:szCs w:val="24"/>
        </w:rPr>
        <w:t xml:space="preserve">In paragraph 12 of the decision the VC states that it was a belief held by the applicant that he was treated differently. The VC focuses on the wording “my belief” and then goes on to provide general comments to substantiate his position. However, the hearing showed proof </w:t>
      </w:r>
      <w:r w:rsidRPr="006B178B">
        <w:rPr>
          <w:rFonts w:ascii="Times New Roman" w:hAnsi="Times New Roman" w:cs="Times New Roman"/>
          <w:sz w:val="24"/>
          <w:szCs w:val="24"/>
        </w:rPr>
        <w:lastRenderedPageBreak/>
        <w:t>that the applicant was treated differently. The applicant’s belief was supported by facts which were uncovered, heard, documented yet excluded from the decision.</w:t>
      </w:r>
      <w:r w:rsidRPr="006B178B">
        <w:rPr>
          <w:rStyle w:val="FootnoteReference"/>
          <w:rFonts w:ascii="Times New Roman" w:hAnsi="Times New Roman" w:cs="Times New Roman"/>
          <w:sz w:val="24"/>
          <w:szCs w:val="24"/>
        </w:rPr>
        <w:footnoteReference w:id="40"/>
      </w:r>
    </w:p>
    <w:p w:rsidR="00E42EEF" w:rsidRPr="006B178B" w:rsidRDefault="00E42EEF" w:rsidP="000A4E91">
      <w:pPr>
        <w:pStyle w:val="ListParagraph"/>
        <w:ind w:hanging="720"/>
        <w:rPr>
          <w:rFonts w:ascii="Times New Roman" w:hAnsi="Times New Roman" w:cs="Times New Roman"/>
          <w:sz w:val="24"/>
          <w:szCs w:val="24"/>
        </w:rPr>
      </w:pPr>
    </w:p>
    <w:p w:rsidR="00E50D1E" w:rsidRPr="006B178B" w:rsidRDefault="0062131B" w:rsidP="000A4E91">
      <w:pPr>
        <w:pStyle w:val="ListParagraph"/>
        <w:numPr>
          <w:ilvl w:val="0"/>
          <w:numId w:val="1"/>
        </w:numPr>
        <w:ind w:hanging="720"/>
        <w:rPr>
          <w:rFonts w:ascii="Times New Roman" w:hAnsi="Times New Roman" w:cs="Times New Roman"/>
          <w:sz w:val="24"/>
          <w:szCs w:val="24"/>
        </w:rPr>
      </w:pPr>
      <w:r w:rsidRPr="006B178B">
        <w:rPr>
          <w:rFonts w:ascii="Times New Roman" w:hAnsi="Times New Roman" w:cs="Times New Roman"/>
          <w:sz w:val="24"/>
          <w:szCs w:val="24"/>
        </w:rPr>
        <w:t xml:space="preserve">Further on in that paragraph the VC comments on the applicant’s statement portrays it as having a lack of supportive information. However, why is it that the </w:t>
      </w:r>
      <w:r w:rsidR="00D7781F" w:rsidRPr="006B178B">
        <w:rPr>
          <w:rFonts w:ascii="Times New Roman" w:hAnsi="Times New Roman" w:cs="Times New Roman"/>
          <w:sz w:val="24"/>
          <w:szCs w:val="24"/>
        </w:rPr>
        <w:t xml:space="preserve">applicant’s </w:t>
      </w:r>
      <w:r w:rsidRPr="006B178B">
        <w:rPr>
          <w:rFonts w:ascii="Times New Roman" w:hAnsi="Times New Roman" w:cs="Times New Roman"/>
          <w:sz w:val="24"/>
          <w:szCs w:val="24"/>
        </w:rPr>
        <w:t>statement has 1</w:t>
      </w:r>
      <w:r w:rsidR="00D7781F" w:rsidRPr="006B178B">
        <w:rPr>
          <w:rFonts w:ascii="Times New Roman" w:hAnsi="Times New Roman" w:cs="Times New Roman"/>
          <w:sz w:val="24"/>
          <w:szCs w:val="24"/>
        </w:rPr>
        <w:t xml:space="preserve">15 reference documents that it </w:t>
      </w:r>
      <w:r w:rsidRPr="006B178B">
        <w:rPr>
          <w:rFonts w:ascii="Times New Roman" w:hAnsi="Times New Roman" w:cs="Times New Roman"/>
          <w:sz w:val="24"/>
          <w:szCs w:val="24"/>
        </w:rPr>
        <w:t>relies on? The “belief statement” is supported by documentary evidence, not to mention documentary evidence uncovered during the course of the hearing.</w:t>
      </w:r>
      <w:r w:rsidR="00D7781F" w:rsidRPr="006B178B">
        <w:rPr>
          <w:rStyle w:val="FootnoteReference"/>
          <w:rFonts w:ascii="Times New Roman" w:hAnsi="Times New Roman" w:cs="Times New Roman"/>
          <w:sz w:val="24"/>
          <w:szCs w:val="24"/>
        </w:rPr>
        <w:footnoteReference w:id="41"/>
      </w:r>
    </w:p>
    <w:p w:rsidR="00E42EEF" w:rsidRPr="006B178B" w:rsidRDefault="00E42EEF" w:rsidP="000A4E91">
      <w:pPr>
        <w:pStyle w:val="ListParagraph"/>
        <w:ind w:hanging="720"/>
        <w:rPr>
          <w:rFonts w:ascii="Times New Roman" w:hAnsi="Times New Roman" w:cs="Times New Roman"/>
          <w:sz w:val="24"/>
          <w:szCs w:val="24"/>
        </w:rPr>
      </w:pPr>
    </w:p>
    <w:p w:rsidR="00AD25D6" w:rsidRPr="006B178B" w:rsidRDefault="00504342" w:rsidP="000A4E91">
      <w:pPr>
        <w:pStyle w:val="ListParagraph"/>
        <w:numPr>
          <w:ilvl w:val="0"/>
          <w:numId w:val="1"/>
        </w:numPr>
        <w:ind w:hanging="720"/>
        <w:rPr>
          <w:rFonts w:ascii="Times New Roman" w:hAnsi="Times New Roman" w:cs="Times New Roman"/>
          <w:sz w:val="24"/>
          <w:szCs w:val="24"/>
        </w:rPr>
      </w:pPr>
      <w:r w:rsidRPr="006B178B">
        <w:rPr>
          <w:rFonts w:ascii="Times New Roman" w:hAnsi="Times New Roman" w:cs="Times New Roman"/>
          <w:sz w:val="24"/>
          <w:szCs w:val="24"/>
        </w:rPr>
        <w:t xml:space="preserve">In paragraph 13 of the decision the VC states </w:t>
      </w:r>
      <w:r w:rsidR="0062131B" w:rsidRPr="006B178B">
        <w:rPr>
          <w:rFonts w:ascii="Times New Roman" w:hAnsi="Times New Roman" w:cs="Times New Roman"/>
          <w:sz w:val="24"/>
          <w:szCs w:val="24"/>
        </w:rPr>
        <w:t>‘the oral and documentary evidence before me supports the respondent’s version of the events’. That is another general statement and one that is lacking supportive information. One only need</w:t>
      </w:r>
      <w:r w:rsidR="0092525C" w:rsidRPr="006B178B">
        <w:rPr>
          <w:rFonts w:ascii="Times New Roman" w:hAnsi="Times New Roman" w:cs="Times New Roman"/>
          <w:sz w:val="24"/>
          <w:szCs w:val="24"/>
        </w:rPr>
        <w:t>s</w:t>
      </w:r>
      <w:r w:rsidR="0062131B" w:rsidRPr="006B178B">
        <w:rPr>
          <w:rFonts w:ascii="Times New Roman" w:hAnsi="Times New Roman" w:cs="Times New Roman"/>
          <w:sz w:val="24"/>
          <w:szCs w:val="24"/>
        </w:rPr>
        <w:t xml:space="preserve"> </w:t>
      </w:r>
      <w:r w:rsidR="0092525C" w:rsidRPr="006B178B">
        <w:rPr>
          <w:rFonts w:ascii="Times New Roman" w:hAnsi="Times New Roman" w:cs="Times New Roman"/>
          <w:sz w:val="24"/>
          <w:szCs w:val="24"/>
        </w:rPr>
        <w:t xml:space="preserve">to </w:t>
      </w:r>
      <w:r w:rsidR="0062131B" w:rsidRPr="006B178B">
        <w:rPr>
          <w:rFonts w:ascii="Times New Roman" w:hAnsi="Times New Roman" w:cs="Times New Roman"/>
          <w:sz w:val="24"/>
          <w:szCs w:val="24"/>
        </w:rPr>
        <w:t xml:space="preserve">look at the applicant’s closing submissions and the sheer volume of exhibits introduced to support differential treatment and once and for </w:t>
      </w:r>
      <w:r w:rsidR="0092525C" w:rsidRPr="006B178B">
        <w:rPr>
          <w:rFonts w:ascii="Times New Roman" w:hAnsi="Times New Roman" w:cs="Times New Roman"/>
          <w:sz w:val="24"/>
          <w:szCs w:val="24"/>
        </w:rPr>
        <w:t xml:space="preserve">all </w:t>
      </w:r>
      <w:r w:rsidR="0062131B" w:rsidRPr="006B178B">
        <w:rPr>
          <w:rFonts w:ascii="Times New Roman" w:hAnsi="Times New Roman" w:cs="Times New Roman"/>
          <w:sz w:val="24"/>
          <w:szCs w:val="24"/>
        </w:rPr>
        <w:t>dismiss any notion that the differential treatment was nothing</w:t>
      </w:r>
      <w:r w:rsidR="0092525C" w:rsidRPr="006B178B">
        <w:rPr>
          <w:rFonts w:ascii="Times New Roman" w:hAnsi="Times New Roman" w:cs="Times New Roman"/>
          <w:sz w:val="24"/>
          <w:szCs w:val="24"/>
        </w:rPr>
        <w:t>,</w:t>
      </w:r>
      <w:r w:rsidR="0062131B" w:rsidRPr="006B178B">
        <w:rPr>
          <w:rFonts w:ascii="Times New Roman" w:hAnsi="Times New Roman" w:cs="Times New Roman"/>
          <w:sz w:val="24"/>
          <w:szCs w:val="24"/>
        </w:rPr>
        <w:t xml:space="preserve"> but a figment of </w:t>
      </w:r>
      <w:r w:rsidR="0092525C" w:rsidRPr="006B178B">
        <w:rPr>
          <w:rFonts w:ascii="Times New Roman" w:hAnsi="Times New Roman" w:cs="Times New Roman"/>
          <w:sz w:val="24"/>
          <w:szCs w:val="24"/>
        </w:rPr>
        <w:t>the applicant’s</w:t>
      </w:r>
      <w:r w:rsidR="0062131B" w:rsidRPr="006B178B">
        <w:rPr>
          <w:rFonts w:ascii="Times New Roman" w:hAnsi="Times New Roman" w:cs="Times New Roman"/>
          <w:sz w:val="24"/>
          <w:szCs w:val="24"/>
        </w:rPr>
        <w:t xml:space="preserve"> imagination. However, it is much easier to simply make general comments when one does not want to spend the time delving into the piles of supportive exhibits. One need</w:t>
      </w:r>
      <w:r w:rsidR="0092525C" w:rsidRPr="006B178B">
        <w:rPr>
          <w:rFonts w:ascii="Times New Roman" w:hAnsi="Times New Roman" w:cs="Times New Roman"/>
          <w:sz w:val="24"/>
          <w:szCs w:val="24"/>
        </w:rPr>
        <w:t>s</w:t>
      </w:r>
      <w:r w:rsidR="0062131B" w:rsidRPr="006B178B">
        <w:rPr>
          <w:rFonts w:ascii="Times New Roman" w:hAnsi="Times New Roman" w:cs="Times New Roman"/>
          <w:sz w:val="24"/>
          <w:szCs w:val="24"/>
        </w:rPr>
        <w:t xml:space="preserve"> only look at exhibit 99 and the differential treatment is put to rest ipso facto.</w:t>
      </w:r>
      <w:r w:rsidR="0062131B" w:rsidRPr="006B178B">
        <w:rPr>
          <w:rStyle w:val="FootnoteReference"/>
          <w:rFonts w:ascii="Times New Roman" w:hAnsi="Times New Roman" w:cs="Times New Roman"/>
          <w:sz w:val="24"/>
          <w:szCs w:val="24"/>
        </w:rPr>
        <w:footnoteReference w:id="42"/>
      </w:r>
    </w:p>
    <w:p w:rsidR="00504342" w:rsidRPr="006B178B" w:rsidRDefault="00504342" w:rsidP="000A4E91">
      <w:pPr>
        <w:ind w:left="360" w:hanging="360"/>
        <w:rPr>
          <w:rFonts w:ascii="Times New Roman" w:hAnsi="Times New Roman" w:cs="Times New Roman"/>
          <w:b/>
          <w:sz w:val="24"/>
          <w:szCs w:val="24"/>
          <w:u w:val="single"/>
        </w:rPr>
      </w:pPr>
      <w:r w:rsidRPr="006B178B">
        <w:rPr>
          <w:rFonts w:ascii="Times New Roman" w:hAnsi="Times New Roman" w:cs="Times New Roman"/>
          <w:b/>
          <w:sz w:val="24"/>
          <w:szCs w:val="24"/>
          <w:u w:val="single"/>
        </w:rPr>
        <w:t>Patently Unreasonable – Disregarding HRTO rules</w:t>
      </w:r>
    </w:p>
    <w:p w:rsidR="00AD25D6" w:rsidRPr="006B178B" w:rsidRDefault="00AD25D6" w:rsidP="000A4E91">
      <w:pPr>
        <w:pStyle w:val="ListParagraph"/>
        <w:numPr>
          <w:ilvl w:val="0"/>
          <w:numId w:val="1"/>
        </w:numPr>
        <w:ind w:hanging="720"/>
        <w:rPr>
          <w:rFonts w:ascii="Times New Roman" w:hAnsi="Times New Roman" w:cs="Times New Roman"/>
          <w:sz w:val="24"/>
          <w:szCs w:val="24"/>
        </w:rPr>
      </w:pPr>
      <w:r w:rsidRPr="006B178B">
        <w:rPr>
          <w:rFonts w:ascii="Times New Roman" w:hAnsi="Times New Roman" w:cs="Times New Roman"/>
          <w:sz w:val="24"/>
          <w:szCs w:val="24"/>
        </w:rPr>
        <w:t xml:space="preserve">In paragraph 14 of the decision the VC states ‘The applicant submits that the sheer number and frequency of these incidents are evidence of the continuous discrimination he was subject to’. </w:t>
      </w:r>
    </w:p>
    <w:p w:rsidR="00AD25D6" w:rsidRPr="006B178B" w:rsidRDefault="00AD25D6" w:rsidP="000A4E91">
      <w:pPr>
        <w:pStyle w:val="ListParagraph"/>
        <w:ind w:hanging="720"/>
        <w:rPr>
          <w:rFonts w:ascii="Times New Roman" w:hAnsi="Times New Roman" w:cs="Times New Roman"/>
          <w:sz w:val="24"/>
          <w:szCs w:val="24"/>
        </w:rPr>
      </w:pPr>
    </w:p>
    <w:p w:rsidR="00504342" w:rsidRPr="006B178B" w:rsidRDefault="00504342" w:rsidP="000A4E91">
      <w:pPr>
        <w:pStyle w:val="ListParagraph"/>
        <w:numPr>
          <w:ilvl w:val="0"/>
          <w:numId w:val="1"/>
        </w:numPr>
        <w:ind w:hanging="720"/>
        <w:rPr>
          <w:rFonts w:ascii="Times New Roman" w:hAnsi="Times New Roman" w:cs="Times New Roman"/>
          <w:sz w:val="24"/>
          <w:szCs w:val="24"/>
        </w:rPr>
      </w:pPr>
      <w:r w:rsidRPr="006B178B">
        <w:rPr>
          <w:rFonts w:ascii="Times New Roman" w:hAnsi="Times New Roman" w:cs="Times New Roman"/>
          <w:sz w:val="24"/>
          <w:szCs w:val="24"/>
        </w:rPr>
        <w:t>The VC failed to take into account the HRTO’s own rules. The HRTO brochure on discrimination states that discrimination can be very subtle, such as being subjected to differential management standards and scrutiny.</w:t>
      </w:r>
    </w:p>
    <w:p w:rsidR="00504342" w:rsidRPr="006B178B" w:rsidRDefault="00504342" w:rsidP="000A4E91">
      <w:pPr>
        <w:pStyle w:val="ListParagraph"/>
        <w:ind w:hanging="720"/>
        <w:rPr>
          <w:rFonts w:ascii="Times New Roman" w:hAnsi="Times New Roman" w:cs="Times New Roman"/>
          <w:sz w:val="24"/>
          <w:szCs w:val="24"/>
        </w:rPr>
      </w:pPr>
    </w:p>
    <w:p w:rsidR="00504342" w:rsidRPr="006B178B" w:rsidRDefault="00504342" w:rsidP="00871AD5">
      <w:pPr>
        <w:pStyle w:val="ListParagraph"/>
        <w:ind w:left="1080"/>
        <w:rPr>
          <w:rFonts w:ascii="Times New Roman" w:hAnsi="Times New Roman" w:cs="Times New Roman"/>
          <w:i/>
          <w:iCs/>
          <w:sz w:val="24"/>
          <w:szCs w:val="24"/>
        </w:rPr>
      </w:pPr>
      <w:r w:rsidRPr="006B178B">
        <w:rPr>
          <w:rFonts w:ascii="Times New Roman" w:hAnsi="Times New Roman" w:cs="Times New Roman"/>
          <w:i/>
          <w:iCs/>
          <w:sz w:val="24"/>
          <w:szCs w:val="24"/>
        </w:rPr>
        <w:t>Racial discrimination can often be very subtle, such as being assigned to less desirable jobs, or being denied mentoring and development opportunities. It might also mean being subjected to different management standards than other workers.</w:t>
      </w:r>
      <w:r w:rsidRPr="006B178B">
        <w:rPr>
          <w:rStyle w:val="FootnoteReference"/>
          <w:rFonts w:ascii="Times New Roman" w:hAnsi="Times New Roman" w:cs="Times New Roman"/>
          <w:i/>
          <w:iCs/>
          <w:sz w:val="24"/>
          <w:szCs w:val="24"/>
        </w:rPr>
        <w:footnoteReference w:id="43"/>
      </w:r>
    </w:p>
    <w:p w:rsidR="00504342" w:rsidRPr="006B178B" w:rsidRDefault="00504342" w:rsidP="00871AD5">
      <w:pPr>
        <w:rPr>
          <w:rFonts w:ascii="Times New Roman" w:hAnsi="Times New Roman" w:cs="Times New Roman"/>
          <w:i/>
          <w:iCs/>
          <w:sz w:val="24"/>
          <w:szCs w:val="24"/>
        </w:rPr>
      </w:pPr>
      <w:r w:rsidRPr="006B178B">
        <w:rPr>
          <w:rFonts w:ascii="Times New Roman" w:hAnsi="Times New Roman" w:cs="Times New Roman"/>
          <w:b/>
          <w:sz w:val="24"/>
          <w:szCs w:val="24"/>
          <w:u w:val="single"/>
        </w:rPr>
        <w:t>Patently Unreasonable – Disregarding applicant’s poisoned work environment</w:t>
      </w:r>
    </w:p>
    <w:p w:rsidR="00E42EEF" w:rsidRPr="006B178B" w:rsidRDefault="00504342" w:rsidP="000A4E91">
      <w:pPr>
        <w:pStyle w:val="ListParagraph"/>
        <w:numPr>
          <w:ilvl w:val="0"/>
          <w:numId w:val="1"/>
        </w:numPr>
        <w:autoSpaceDE w:val="0"/>
        <w:autoSpaceDN w:val="0"/>
        <w:adjustRightInd w:val="0"/>
        <w:spacing w:after="0" w:line="240" w:lineRule="auto"/>
        <w:ind w:hanging="720"/>
        <w:rPr>
          <w:rFonts w:ascii="Times New Roman" w:hAnsi="Times New Roman" w:cs="Times New Roman"/>
          <w:sz w:val="24"/>
          <w:szCs w:val="24"/>
        </w:rPr>
      </w:pPr>
      <w:r w:rsidRPr="006B178B">
        <w:rPr>
          <w:rFonts w:ascii="Times New Roman" w:hAnsi="Times New Roman" w:cs="Times New Roman"/>
          <w:sz w:val="24"/>
          <w:szCs w:val="24"/>
        </w:rPr>
        <w:t>The VC also failed to take into account and appears to be intentionally oblivious that the applicant had to perform his duties and learn the new job amidst all this adverse treatment in the poisoned work environment.</w:t>
      </w:r>
      <w:r w:rsidRPr="006B178B">
        <w:rPr>
          <w:rStyle w:val="FootnoteReference"/>
          <w:rFonts w:ascii="Times New Roman" w:hAnsi="Times New Roman" w:cs="Times New Roman"/>
          <w:sz w:val="24"/>
          <w:szCs w:val="24"/>
        </w:rPr>
        <w:footnoteReference w:id="44"/>
      </w:r>
    </w:p>
    <w:p w:rsidR="00E42EEF" w:rsidRPr="006B178B" w:rsidRDefault="00504342" w:rsidP="000A4E91">
      <w:pPr>
        <w:pStyle w:val="ListParagraph"/>
        <w:numPr>
          <w:ilvl w:val="0"/>
          <w:numId w:val="1"/>
        </w:numPr>
        <w:ind w:hanging="720"/>
        <w:rPr>
          <w:rFonts w:ascii="Times New Roman" w:hAnsi="Times New Roman" w:cs="Times New Roman"/>
          <w:sz w:val="24"/>
          <w:szCs w:val="24"/>
        </w:rPr>
      </w:pPr>
      <w:r w:rsidRPr="006B178B">
        <w:rPr>
          <w:rFonts w:ascii="Times New Roman" w:hAnsi="Times New Roman" w:cs="Times New Roman"/>
          <w:sz w:val="24"/>
          <w:szCs w:val="24"/>
        </w:rPr>
        <w:lastRenderedPageBreak/>
        <w:t>In paragraph 15 of the decision the VC states ‘</w:t>
      </w:r>
      <w:r w:rsidR="0062131B" w:rsidRPr="006B178B">
        <w:rPr>
          <w:rFonts w:ascii="Times New Roman" w:hAnsi="Times New Roman" w:cs="Times New Roman"/>
          <w:sz w:val="24"/>
          <w:szCs w:val="24"/>
        </w:rPr>
        <w:t>In my view, the respondent provided persuasive non-discriminatory reasons for its actions</w:t>
      </w:r>
      <w:proofErr w:type="gramStart"/>
      <w:r w:rsidR="0062131B" w:rsidRPr="006B178B">
        <w:rPr>
          <w:rFonts w:ascii="Times New Roman" w:hAnsi="Times New Roman" w:cs="Times New Roman"/>
          <w:sz w:val="24"/>
          <w:szCs w:val="24"/>
        </w:rPr>
        <w:t>..</w:t>
      </w:r>
      <w:r w:rsidRPr="006B178B">
        <w:rPr>
          <w:rFonts w:ascii="Times New Roman" w:hAnsi="Times New Roman" w:cs="Times New Roman"/>
          <w:sz w:val="24"/>
          <w:szCs w:val="24"/>
        </w:rPr>
        <w:t>’</w:t>
      </w:r>
      <w:proofErr w:type="gramEnd"/>
      <w:r w:rsidRPr="006B178B">
        <w:rPr>
          <w:rFonts w:ascii="Times New Roman" w:hAnsi="Times New Roman" w:cs="Times New Roman"/>
          <w:sz w:val="24"/>
          <w:szCs w:val="24"/>
        </w:rPr>
        <w:t xml:space="preserve">. What happened to </w:t>
      </w:r>
      <w:r w:rsidR="0062131B" w:rsidRPr="006B178B">
        <w:rPr>
          <w:rFonts w:ascii="Times New Roman" w:hAnsi="Times New Roman" w:cs="Times New Roman"/>
          <w:sz w:val="24"/>
          <w:szCs w:val="24"/>
        </w:rPr>
        <w:t>S/Sgt. Campbell</w:t>
      </w:r>
      <w:r w:rsidRPr="006B178B">
        <w:rPr>
          <w:rFonts w:ascii="Times New Roman" w:hAnsi="Times New Roman" w:cs="Times New Roman"/>
          <w:sz w:val="24"/>
          <w:szCs w:val="24"/>
        </w:rPr>
        <w:t xml:space="preserve">’s emails and testimony </w:t>
      </w:r>
      <w:r w:rsidR="0062131B" w:rsidRPr="006B178B">
        <w:rPr>
          <w:rFonts w:ascii="Times New Roman" w:hAnsi="Times New Roman" w:cs="Times New Roman"/>
          <w:sz w:val="24"/>
          <w:szCs w:val="24"/>
        </w:rPr>
        <w:t xml:space="preserve">that the applicant was being targeted and </w:t>
      </w:r>
      <w:proofErr w:type="spellStart"/>
      <w:r w:rsidR="0062131B" w:rsidRPr="006B178B">
        <w:rPr>
          <w:rFonts w:ascii="Times New Roman" w:hAnsi="Times New Roman" w:cs="Times New Roman"/>
          <w:sz w:val="24"/>
          <w:szCs w:val="24"/>
        </w:rPr>
        <w:t>Cst</w:t>
      </w:r>
      <w:proofErr w:type="spellEnd"/>
      <w:r w:rsidR="0062131B" w:rsidRPr="006B178B">
        <w:rPr>
          <w:rFonts w:ascii="Times New Roman" w:hAnsi="Times New Roman" w:cs="Times New Roman"/>
          <w:sz w:val="24"/>
          <w:szCs w:val="24"/>
        </w:rPr>
        <w:t>. Duignan’s audio recording that the ap</w:t>
      </w:r>
      <w:r w:rsidRPr="006B178B">
        <w:rPr>
          <w:rFonts w:ascii="Times New Roman" w:hAnsi="Times New Roman" w:cs="Times New Roman"/>
          <w:sz w:val="24"/>
          <w:szCs w:val="24"/>
        </w:rPr>
        <w:t>plicant was being fucked around?</w:t>
      </w:r>
      <w:r w:rsidR="0062131B" w:rsidRPr="006B178B">
        <w:rPr>
          <w:rStyle w:val="FootnoteReference"/>
          <w:rFonts w:ascii="Times New Roman" w:hAnsi="Times New Roman" w:cs="Times New Roman"/>
          <w:sz w:val="24"/>
          <w:szCs w:val="24"/>
        </w:rPr>
        <w:footnoteReference w:id="45"/>
      </w:r>
      <w:r w:rsidR="0062131B" w:rsidRPr="006B178B">
        <w:rPr>
          <w:rFonts w:ascii="Times New Roman" w:hAnsi="Times New Roman" w:cs="Times New Roman"/>
          <w:sz w:val="24"/>
          <w:szCs w:val="24"/>
        </w:rPr>
        <w:t xml:space="preserve">  </w:t>
      </w:r>
    </w:p>
    <w:p w:rsidR="00E42EEF" w:rsidRPr="006B178B" w:rsidRDefault="00E42EEF" w:rsidP="000A4E91">
      <w:pPr>
        <w:pStyle w:val="ListParagraph"/>
        <w:ind w:hanging="720"/>
        <w:rPr>
          <w:rFonts w:ascii="Times New Roman" w:hAnsi="Times New Roman" w:cs="Times New Roman"/>
          <w:sz w:val="24"/>
          <w:szCs w:val="24"/>
        </w:rPr>
      </w:pPr>
    </w:p>
    <w:p w:rsidR="00E42EEF" w:rsidRPr="006B178B" w:rsidRDefault="00550917" w:rsidP="000A4E91">
      <w:pPr>
        <w:pStyle w:val="ListParagraph"/>
        <w:numPr>
          <w:ilvl w:val="0"/>
          <w:numId w:val="1"/>
        </w:numPr>
        <w:ind w:hanging="720"/>
        <w:rPr>
          <w:rFonts w:ascii="Times New Roman" w:hAnsi="Times New Roman" w:cs="Times New Roman"/>
          <w:sz w:val="24"/>
          <w:szCs w:val="24"/>
        </w:rPr>
      </w:pPr>
      <w:r w:rsidRPr="006B178B">
        <w:rPr>
          <w:rFonts w:ascii="Times New Roman" w:hAnsi="Times New Roman" w:cs="Times New Roman"/>
          <w:sz w:val="24"/>
          <w:szCs w:val="24"/>
        </w:rPr>
        <w:t xml:space="preserve">VC’s statement </w:t>
      </w:r>
      <w:r w:rsidR="0062131B" w:rsidRPr="006B178B">
        <w:rPr>
          <w:rFonts w:ascii="Times New Roman" w:hAnsi="Times New Roman" w:cs="Times New Roman"/>
          <w:sz w:val="24"/>
          <w:szCs w:val="24"/>
        </w:rPr>
        <w:t>‘In my view’ is an opinion. Facts</w:t>
      </w:r>
      <w:r w:rsidRPr="006B178B">
        <w:rPr>
          <w:rFonts w:ascii="Times New Roman" w:hAnsi="Times New Roman" w:cs="Times New Roman"/>
          <w:sz w:val="24"/>
          <w:szCs w:val="24"/>
        </w:rPr>
        <w:t>, on the other hand,</w:t>
      </w:r>
      <w:r w:rsidR="0062131B" w:rsidRPr="006B178B">
        <w:rPr>
          <w:rFonts w:ascii="Times New Roman" w:hAnsi="Times New Roman" w:cs="Times New Roman"/>
          <w:sz w:val="24"/>
          <w:szCs w:val="24"/>
        </w:rPr>
        <w:t xml:space="preserve"> speak otherwise.</w:t>
      </w:r>
    </w:p>
    <w:p w:rsidR="005311F1" w:rsidRPr="006B178B" w:rsidRDefault="005311F1" w:rsidP="00871AD5">
      <w:pPr>
        <w:ind w:left="360" w:hanging="360"/>
        <w:rPr>
          <w:rFonts w:ascii="Times New Roman" w:hAnsi="Times New Roman" w:cs="Times New Roman"/>
          <w:b/>
          <w:sz w:val="24"/>
          <w:szCs w:val="24"/>
          <w:u w:val="single"/>
        </w:rPr>
      </w:pPr>
      <w:r w:rsidRPr="006B178B">
        <w:rPr>
          <w:rFonts w:ascii="Times New Roman" w:hAnsi="Times New Roman" w:cs="Times New Roman"/>
          <w:b/>
          <w:sz w:val="24"/>
          <w:szCs w:val="24"/>
          <w:u w:val="single"/>
        </w:rPr>
        <w:t xml:space="preserve">Patently Unreasonable – </w:t>
      </w:r>
      <w:r w:rsidR="00333512" w:rsidRPr="006B178B">
        <w:rPr>
          <w:rFonts w:ascii="Times New Roman" w:hAnsi="Times New Roman" w:cs="Times New Roman"/>
          <w:b/>
          <w:sz w:val="24"/>
          <w:szCs w:val="24"/>
          <w:u w:val="single"/>
        </w:rPr>
        <w:t>Disregarding applicant’s p</w:t>
      </w:r>
      <w:r w:rsidRPr="006B178B">
        <w:rPr>
          <w:rFonts w:ascii="Times New Roman" w:hAnsi="Times New Roman" w:cs="Times New Roman"/>
          <w:b/>
          <w:sz w:val="24"/>
          <w:szCs w:val="24"/>
          <w:u w:val="single"/>
        </w:rPr>
        <w:t xml:space="preserve">rior performance </w:t>
      </w:r>
    </w:p>
    <w:p w:rsidR="00E42EEF" w:rsidRPr="006B178B" w:rsidRDefault="00BA641D" w:rsidP="000A4E91">
      <w:pPr>
        <w:pStyle w:val="ListParagraph"/>
        <w:numPr>
          <w:ilvl w:val="0"/>
          <w:numId w:val="1"/>
        </w:numPr>
        <w:ind w:hanging="720"/>
        <w:rPr>
          <w:rFonts w:ascii="Times New Roman" w:hAnsi="Times New Roman" w:cs="Times New Roman"/>
          <w:sz w:val="24"/>
          <w:szCs w:val="24"/>
        </w:rPr>
      </w:pPr>
      <w:r w:rsidRPr="006B178B">
        <w:rPr>
          <w:rFonts w:ascii="Times New Roman" w:hAnsi="Times New Roman" w:cs="Times New Roman"/>
          <w:sz w:val="24"/>
          <w:szCs w:val="24"/>
        </w:rPr>
        <w:t xml:space="preserve">In paragraph 18 of the decision the VC </w:t>
      </w:r>
      <w:r w:rsidR="0062131B" w:rsidRPr="006B178B">
        <w:rPr>
          <w:rFonts w:ascii="Times New Roman" w:hAnsi="Times New Roman" w:cs="Times New Roman"/>
          <w:sz w:val="24"/>
          <w:szCs w:val="24"/>
        </w:rPr>
        <w:t>focus</w:t>
      </w:r>
      <w:r w:rsidRPr="006B178B">
        <w:rPr>
          <w:rFonts w:ascii="Times New Roman" w:hAnsi="Times New Roman" w:cs="Times New Roman"/>
          <w:sz w:val="24"/>
          <w:szCs w:val="24"/>
        </w:rPr>
        <w:t>es</w:t>
      </w:r>
      <w:r w:rsidR="0062131B" w:rsidRPr="006B178B">
        <w:rPr>
          <w:rFonts w:ascii="Times New Roman" w:hAnsi="Times New Roman" w:cs="Times New Roman"/>
          <w:sz w:val="24"/>
          <w:szCs w:val="24"/>
        </w:rPr>
        <w:t xml:space="preserve"> on one aspect of the applicant’s</w:t>
      </w:r>
      <w:r w:rsidRPr="006B178B">
        <w:rPr>
          <w:rFonts w:ascii="Times New Roman" w:hAnsi="Times New Roman" w:cs="Times New Roman"/>
          <w:sz w:val="24"/>
          <w:szCs w:val="24"/>
        </w:rPr>
        <w:t xml:space="preserve"> training at the Police Academy.</w:t>
      </w:r>
      <w:r w:rsidR="0062131B" w:rsidRPr="006B178B">
        <w:rPr>
          <w:rFonts w:ascii="Times New Roman" w:hAnsi="Times New Roman" w:cs="Times New Roman"/>
          <w:sz w:val="24"/>
          <w:szCs w:val="24"/>
        </w:rPr>
        <w:t xml:space="preserve"> The VC states that ‘the applicant failed to pass </w:t>
      </w:r>
      <w:proofErr w:type="spellStart"/>
      <w:r w:rsidR="0062131B" w:rsidRPr="006B178B">
        <w:rPr>
          <w:rFonts w:ascii="Times New Roman" w:hAnsi="Times New Roman" w:cs="Times New Roman"/>
          <w:sz w:val="24"/>
          <w:szCs w:val="24"/>
        </w:rPr>
        <w:t>Polcie</w:t>
      </w:r>
      <w:proofErr w:type="spellEnd"/>
      <w:r w:rsidR="0062131B" w:rsidRPr="006B178B">
        <w:rPr>
          <w:rFonts w:ascii="Times New Roman" w:hAnsi="Times New Roman" w:cs="Times New Roman"/>
          <w:sz w:val="24"/>
          <w:szCs w:val="24"/>
        </w:rPr>
        <w:t xml:space="preserve"> Vehicle operations during purs</w:t>
      </w:r>
      <w:r w:rsidRPr="006B178B">
        <w:rPr>
          <w:rFonts w:ascii="Times New Roman" w:hAnsi="Times New Roman" w:cs="Times New Roman"/>
          <w:sz w:val="24"/>
          <w:szCs w:val="24"/>
        </w:rPr>
        <w:t>uit driving twice. The VC fails</w:t>
      </w:r>
      <w:r w:rsidR="0062131B" w:rsidRPr="006B178B">
        <w:rPr>
          <w:rFonts w:ascii="Times New Roman" w:hAnsi="Times New Roman" w:cs="Times New Roman"/>
          <w:sz w:val="24"/>
          <w:szCs w:val="24"/>
        </w:rPr>
        <w:t xml:space="preserve"> to take into account the applicant’s testimony that dozens of other recruits also failed this porti</w:t>
      </w:r>
      <w:r w:rsidRPr="006B178B">
        <w:rPr>
          <w:rFonts w:ascii="Times New Roman" w:hAnsi="Times New Roman" w:cs="Times New Roman"/>
          <w:sz w:val="24"/>
          <w:szCs w:val="24"/>
        </w:rPr>
        <w:t>on of Police Vehicle operations. Again, it is nowhere to be found because applicant’s testimony was not transcribed.</w:t>
      </w:r>
      <w:r w:rsidR="0062131B" w:rsidRPr="006B178B">
        <w:rPr>
          <w:rFonts w:ascii="Times New Roman" w:hAnsi="Times New Roman" w:cs="Times New Roman"/>
          <w:sz w:val="24"/>
          <w:szCs w:val="24"/>
        </w:rPr>
        <w:t xml:space="preserve"> </w:t>
      </w:r>
    </w:p>
    <w:p w:rsidR="005311F1" w:rsidRPr="006B178B" w:rsidRDefault="005311F1" w:rsidP="000A4E91">
      <w:pPr>
        <w:pStyle w:val="ListParagraph"/>
        <w:ind w:hanging="720"/>
        <w:rPr>
          <w:rFonts w:ascii="Times New Roman" w:hAnsi="Times New Roman" w:cs="Times New Roman"/>
          <w:sz w:val="24"/>
          <w:szCs w:val="24"/>
        </w:rPr>
      </w:pPr>
    </w:p>
    <w:p w:rsidR="005E3542" w:rsidRPr="006B178B" w:rsidRDefault="005311F1" w:rsidP="000A4E91">
      <w:pPr>
        <w:pStyle w:val="ListParagraph"/>
        <w:numPr>
          <w:ilvl w:val="0"/>
          <w:numId w:val="1"/>
        </w:numPr>
        <w:ind w:hanging="720"/>
        <w:rPr>
          <w:rFonts w:ascii="Times New Roman" w:hAnsi="Times New Roman" w:cs="Times New Roman"/>
          <w:sz w:val="24"/>
          <w:szCs w:val="24"/>
        </w:rPr>
      </w:pPr>
      <w:r w:rsidRPr="006B178B">
        <w:rPr>
          <w:rFonts w:ascii="Times New Roman" w:hAnsi="Times New Roman" w:cs="Times New Roman"/>
          <w:sz w:val="24"/>
          <w:szCs w:val="24"/>
        </w:rPr>
        <w:t>The VC has failed to take into account and totally overlooked Jack’s well above-average performance prior to the commencement of his probationary period at Peterborough detachment.</w:t>
      </w:r>
      <w:r w:rsidRPr="006B178B">
        <w:rPr>
          <w:rStyle w:val="FootnoteReference"/>
          <w:rFonts w:ascii="Times New Roman" w:hAnsi="Times New Roman" w:cs="Times New Roman"/>
          <w:sz w:val="24"/>
          <w:szCs w:val="24"/>
        </w:rPr>
        <w:footnoteReference w:id="46"/>
      </w:r>
      <w:r w:rsidRPr="006B178B">
        <w:rPr>
          <w:rFonts w:ascii="Times New Roman" w:hAnsi="Times New Roman" w:cs="Times New Roman"/>
          <w:sz w:val="24"/>
          <w:szCs w:val="24"/>
        </w:rPr>
        <w:t xml:space="preserve"> </w:t>
      </w:r>
      <w:r w:rsidR="0062131B" w:rsidRPr="006B178B">
        <w:rPr>
          <w:rFonts w:ascii="Times New Roman" w:hAnsi="Times New Roman" w:cs="Times New Roman"/>
          <w:sz w:val="24"/>
          <w:szCs w:val="24"/>
        </w:rPr>
        <w:t>It is a fact that the applicant’s average at OPC was 10 percent higher than the course average, that the applicant was one out of five recruits to win 100% on the Ontario Police Fitness Award out of 460 recruits and that the applicant won the hand gun shooting award out of 110 OPP recruits.</w:t>
      </w:r>
      <w:r w:rsidR="0062131B" w:rsidRPr="006B178B">
        <w:rPr>
          <w:rStyle w:val="FootnoteReference"/>
          <w:rFonts w:ascii="Times New Roman" w:hAnsi="Times New Roman" w:cs="Times New Roman"/>
          <w:sz w:val="24"/>
          <w:szCs w:val="24"/>
        </w:rPr>
        <w:footnoteReference w:id="47"/>
      </w:r>
      <w:r w:rsidR="0062131B" w:rsidRPr="006B178B">
        <w:rPr>
          <w:rFonts w:ascii="Times New Roman" w:hAnsi="Times New Roman" w:cs="Times New Roman"/>
          <w:sz w:val="24"/>
          <w:szCs w:val="24"/>
        </w:rPr>
        <w:t xml:space="preserve"> Only the fact that he failed to pass Police Vehicle operation during pursuit twice, like dozens of other recruits at OPC did, is mentioned. This paragraph is discriminatory in and of itself!</w:t>
      </w:r>
    </w:p>
    <w:p w:rsidR="00E42EEF" w:rsidRPr="006B178B" w:rsidRDefault="005E3542" w:rsidP="00871AD5">
      <w:pPr>
        <w:ind w:left="360" w:hanging="360"/>
        <w:rPr>
          <w:rFonts w:ascii="Times New Roman" w:hAnsi="Times New Roman" w:cs="Times New Roman"/>
          <w:b/>
          <w:sz w:val="24"/>
          <w:szCs w:val="24"/>
          <w:u w:val="single"/>
        </w:rPr>
      </w:pPr>
      <w:r w:rsidRPr="006B178B">
        <w:rPr>
          <w:rFonts w:ascii="Times New Roman" w:hAnsi="Times New Roman" w:cs="Times New Roman"/>
          <w:b/>
          <w:sz w:val="24"/>
          <w:szCs w:val="24"/>
          <w:u w:val="single"/>
        </w:rPr>
        <w:t xml:space="preserve">Patently Unreasonable – Dismissing the testimony of the only </w:t>
      </w:r>
      <w:r w:rsidR="00BE2301" w:rsidRPr="006B178B">
        <w:rPr>
          <w:rFonts w:ascii="Times New Roman" w:hAnsi="Times New Roman" w:cs="Times New Roman"/>
          <w:b/>
          <w:sz w:val="24"/>
          <w:szCs w:val="24"/>
          <w:u w:val="single"/>
        </w:rPr>
        <w:t>true</w:t>
      </w:r>
      <w:r w:rsidRPr="006B178B">
        <w:rPr>
          <w:rFonts w:ascii="Times New Roman" w:hAnsi="Times New Roman" w:cs="Times New Roman"/>
          <w:b/>
          <w:sz w:val="24"/>
          <w:szCs w:val="24"/>
          <w:u w:val="single"/>
        </w:rPr>
        <w:t xml:space="preserve"> witness of the applicant </w:t>
      </w:r>
    </w:p>
    <w:p w:rsidR="00BC7840" w:rsidRPr="006B178B" w:rsidRDefault="00BC7840" w:rsidP="000A4E91">
      <w:pPr>
        <w:pStyle w:val="ListParagraph"/>
        <w:numPr>
          <w:ilvl w:val="0"/>
          <w:numId w:val="1"/>
        </w:numPr>
        <w:ind w:hanging="720"/>
        <w:rPr>
          <w:rFonts w:ascii="Times New Roman" w:hAnsi="Times New Roman" w:cs="Times New Roman"/>
          <w:sz w:val="24"/>
          <w:szCs w:val="24"/>
        </w:rPr>
      </w:pPr>
      <w:r w:rsidRPr="006B178B">
        <w:rPr>
          <w:rFonts w:ascii="Times New Roman" w:hAnsi="Times New Roman" w:cs="Times New Roman"/>
          <w:sz w:val="24"/>
          <w:szCs w:val="24"/>
        </w:rPr>
        <w:t xml:space="preserve">In paragraph 30 of the decision the VC </w:t>
      </w:r>
      <w:r w:rsidR="0062131B" w:rsidRPr="006B178B">
        <w:rPr>
          <w:rFonts w:ascii="Times New Roman" w:hAnsi="Times New Roman" w:cs="Times New Roman"/>
          <w:sz w:val="24"/>
          <w:szCs w:val="24"/>
        </w:rPr>
        <w:t xml:space="preserve">dismisses Greco’s testimony on an opinion. That opinion was that if Greco considered Jack a friend and hearing Jack tell him that he is going through a hard time at the detachment then why did Greco not tell Jack what Constable Marc Gravelle (Gravelle) had been confiding in him concerning Jack. On this rather weak notion the VC dismisses Greco’s testimony as unreliable. </w:t>
      </w:r>
    </w:p>
    <w:p w:rsidR="00BE2301" w:rsidRPr="006B178B" w:rsidRDefault="00BE2301" w:rsidP="000A4E91">
      <w:pPr>
        <w:pStyle w:val="ListParagraph"/>
        <w:ind w:hanging="720"/>
        <w:rPr>
          <w:rFonts w:ascii="Times New Roman" w:hAnsi="Times New Roman" w:cs="Times New Roman"/>
          <w:sz w:val="24"/>
          <w:szCs w:val="24"/>
        </w:rPr>
      </w:pPr>
    </w:p>
    <w:p w:rsidR="00E42EEF" w:rsidRPr="006B178B" w:rsidRDefault="0062131B" w:rsidP="000A4E91">
      <w:pPr>
        <w:pStyle w:val="ListParagraph"/>
        <w:numPr>
          <w:ilvl w:val="0"/>
          <w:numId w:val="1"/>
        </w:numPr>
        <w:ind w:hanging="720"/>
        <w:rPr>
          <w:rFonts w:ascii="Times New Roman" w:hAnsi="Times New Roman" w:cs="Times New Roman"/>
          <w:sz w:val="24"/>
          <w:szCs w:val="24"/>
        </w:rPr>
      </w:pPr>
      <w:r w:rsidRPr="006B178B">
        <w:rPr>
          <w:rFonts w:ascii="Times New Roman" w:hAnsi="Times New Roman" w:cs="Times New Roman"/>
          <w:sz w:val="24"/>
          <w:szCs w:val="24"/>
        </w:rPr>
        <w:t>However, it was the testimony of Greco that Gravelle was a friend at that point (2009).</w:t>
      </w:r>
    </w:p>
    <w:p w:rsidR="00E42EEF" w:rsidRPr="006B178B" w:rsidRDefault="00E42EEF" w:rsidP="000A4E91">
      <w:pPr>
        <w:pStyle w:val="ListParagraph"/>
        <w:ind w:hanging="720"/>
        <w:rPr>
          <w:rFonts w:ascii="Times New Roman" w:hAnsi="Times New Roman" w:cs="Times New Roman"/>
          <w:sz w:val="24"/>
          <w:szCs w:val="24"/>
        </w:rPr>
      </w:pPr>
    </w:p>
    <w:p w:rsidR="00BE2301" w:rsidRPr="006B178B" w:rsidRDefault="0062131B" w:rsidP="00871AD5">
      <w:pPr>
        <w:pStyle w:val="ListParagraph"/>
        <w:ind w:left="1080"/>
        <w:rPr>
          <w:rFonts w:ascii="Times New Roman" w:hAnsi="Times New Roman" w:cs="Times New Roman"/>
          <w:sz w:val="24"/>
          <w:szCs w:val="24"/>
        </w:rPr>
      </w:pPr>
      <w:r w:rsidRPr="006B178B">
        <w:rPr>
          <w:rFonts w:ascii="Times New Roman" w:hAnsi="Times New Roman" w:cs="Times New Roman"/>
          <w:sz w:val="24"/>
          <w:szCs w:val="24"/>
        </w:rPr>
        <w:t>There were several.  Steven Gray, Marc Gravelle.  Marc Gravelle would probably be a person whom I would have said would have been a friend to me at that point in time, and somebody was very familiar with, and probably somebody would have seen most often.</w:t>
      </w:r>
      <w:r w:rsidR="00BE2301" w:rsidRPr="006B178B">
        <w:rPr>
          <w:rStyle w:val="FootnoteReference"/>
          <w:rFonts w:ascii="Times New Roman" w:hAnsi="Times New Roman" w:cs="Times New Roman"/>
          <w:sz w:val="24"/>
          <w:szCs w:val="24"/>
        </w:rPr>
        <w:footnoteReference w:id="48"/>
      </w:r>
    </w:p>
    <w:p w:rsidR="00BE2301" w:rsidRPr="006B178B" w:rsidRDefault="00BE2301" w:rsidP="000A4E91">
      <w:pPr>
        <w:pStyle w:val="ListParagraph"/>
        <w:ind w:left="1080" w:hanging="720"/>
        <w:rPr>
          <w:rFonts w:ascii="Times New Roman" w:hAnsi="Times New Roman" w:cs="Times New Roman"/>
          <w:sz w:val="24"/>
          <w:szCs w:val="24"/>
        </w:rPr>
      </w:pPr>
    </w:p>
    <w:p w:rsidR="00E42EEF" w:rsidRPr="006B178B" w:rsidRDefault="0062131B" w:rsidP="000A4E91">
      <w:pPr>
        <w:pStyle w:val="ListParagraph"/>
        <w:numPr>
          <w:ilvl w:val="0"/>
          <w:numId w:val="1"/>
        </w:numPr>
        <w:ind w:hanging="720"/>
        <w:rPr>
          <w:rFonts w:ascii="Times New Roman" w:hAnsi="Times New Roman" w:cs="Times New Roman"/>
          <w:sz w:val="24"/>
          <w:szCs w:val="24"/>
        </w:rPr>
      </w:pPr>
      <w:r w:rsidRPr="006B178B">
        <w:rPr>
          <w:rFonts w:ascii="Times New Roman" w:hAnsi="Times New Roman" w:cs="Times New Roman"/>
          <w:sz w:val="24"/>
          <w:szCs w:val="24"/>
        </w:rPr>
        <w:lastRenderedPageBreak/>
        <w:t xml:space="preserve">Whereas Jack at that same point in time was not as close a friend to Greco as Gravelle was. </w:t>
      </w:r>
    </w:p>
    <w:p w:rsidR="00E42EEF" w:rsidRPr="006B178B" w:rsidRDefault="0062131B" w:rsidP="00871AD5">
      <w:pPr>
        <w:ind w:left="1080"/>
        <w:rPr>
          <w:rFonts w:ascii="Times New Roman" w:hAnsi="Times New Roman" w:cs="Times New Roman"/>
          <w:sz w:val="24"/>
          <w:szCs w:val="24"/>
        </w:rPr>
      </w:pPr>
      <w:r w:rsidRPr="006B178B">
        <w:rPr>
          <w:rFonts w:ascii="Times New Roman" w:hAnsi="Times New Roman" w:cs="Times New Roman"/>
          <w:sz w:val="24"/>
          <w:szCs w:val="24"/>
        </w:rPr>
        <w:t xml:space="preserve">I know Mr. Jack originally from the gym.  We became friends.  I am not saying that we would have </w:t>
      </w:r>
      <w:proofErr w:type="spellStart"/>
      <w:r w:rsidRPr="006B178B">
        <w:rPr>
          <w:rFonts w:ascii="Times New Roman" w:hAnsi="Times New Roman" w:cs="Times New Roman"/>
          <w:sz w:val="24"/>
          <w:szCs w:val="24"/>
        </w:rPr>
        <w:t>beer</w:t>
      </w:r>
      <w:proofErr w:type="spellEnd"/>
      <w:r w:rsidRPr="006B178B">
        <w:rPr>
          <w:rFonts w:ascii="Times New Roman" w:hAnsi="Times New Roman" w:cs="Times New Roman"/>
          <w:sz w:val="24"/>
          <w:szCs w:val="24"/>
        </w:rPr>
        <w:t xml:space="preserve"> together, but we knew each other primarily from the gym, and over the years I got to know Mr. Jack better.</w:t>
      </w:r>
      <w:r w:rsidR="00BE2301" w:rsidRPr="006B178B">
        <w:rPr>
          <w:rStyle w:val="FootnoteReference"/>
          <w:rFonts w:ascii="Times New Roman" w:hAnsi="Times New Roman" w:cs="Times New Roman"/>
          <w:sz w:val="24"/>
          <w:szCs w:val="24"/>
        </w:rPr>
        <w:footnoteReference w:id="49"/>
      </w:r>
    </w:p>
    <w:p w:rsidR="00E42EEF" w:rsidRPr="006B178B" w:rsidRDefault="0062131B" w:rsidP="000A4E91">
      <w:pPr>
        <w:pStyle w:val="ListParagraph"/>
        <w:numPr>
          <w:ilvl w:val="0"/>
          <w:numId w:val="1"/>
        </w:numPr>
        <w:ind w:hanging="720"/>
        <w:rPr>
          <w:rFonts w:ascii="Times New Roman" w:hAnsi="Times New Roman" w:cs="Times New Roman"/>
          <w:sz w:val="24"/>
          <w:szCs w:val="24"/>
        </w:rPr>
      </w:pPr>
      <w:r w:rsidRPr="006B178B">
        <w:rPr>
          <w:rFonts w:ascii="Times New Roman" w:hAnsi="Times New Roman" w:cs="Times New Roman"/>
          <w:sz w:val="24"/>
          <w:szCs w:val="24"/>
        </w:rPr>
        <w:t xml:space="preserve">It is evident that Greco’s relationship with Gravelle at that time was closer than his relationship to Jack who was a probationary recruit and one that Greco would see </w:t>
      </w:r>
      <w:r w:rsidR="00BE2301" w:rsidRPr="006B178B">
        <w:rPr>
          <w:rFonts w:ascii="Times New Roman" w:hAnsi="Times New Roman" w:cs="Times New Roman"/>
          <w:sz w:val="24"/>
          <w:szCs w:val="24"/>
        </w:rPr>
        <w:t>only</w:t>
      </w:r>
      <w:r w:rsidRPr="006B178B">
        <w:rPr>
          <w:rFonts w:ascii="Times New Roman" w:hAnsi="Times New Roman" w:cs="Times New Roman"/>
          <w:sz w:val="24"/>
          <w:szCs w:val="24"/>
        </w:rPr>
        <w:t xml:space="preserve"> at the Gym</w:t>
      </w:r>
      <w:r w:rsidR="00BE2301" w:rsidRPr="006B178B">
        <w:rPr>
          <w:rFonts w:ascii="Times New Roman" w:hAnsi="Times New Roman" w:cs="Times New Roman"/>
          <w:sz w:val="24"/>
          <w:szCs w:val="24"/>
        </w:rPr>
        <w:t xml:space="preserve">. </w:t>
      </w:r>
      <w:r w:rsidRPr="006B178B">
        <w:rPr>
          <w:rFonts w:ascii="Times New Roman" w:hAnsi="Times New Roman" w:cs="Times New Roman"/>
          <w:sz w:val="24"/>
          <w:szCs w:val="24"/>
        </w:rPr>
        <w:t xml:space="preserve">Whereas, Greco had known Gravelle for quite some time through many court appearances and also from the gym. His relationship with Gravelle at that time was strong than his relationship with Jack albeit they were both his friends. </w:t>
      </w:r>
    </w:p>
    <w:p w:rsidR="00E42EEF" w:rsidRPr="006B178B" w:rsidRDefault="00E42EEF" w:rsidP="000A4E91">
      <w:pPr>
        <w:pStyle w:val="ListParagraph"/>
        <w:ind w:hanging="720"/>
        <w:rPr>
          <w:rFonts w:ascii="Times New Roman" w:hAnsi="Times New Roman" w:cs="Times New Roman"/>
          <w:sz w:val="24"/>
          <w:szCs w:val="24"/>
        </w:rPr>
      </w:pPr>
    </w:p>
    <w:p w:rsidR="00AD25D6" w:rsidRPr="006B178B" w:rsidRDefault="0062131B" w:rsidP="000A4E91">
      <w:pPr>
        <w:pStyle w:val="ListParagraph"/>
        <w:numPr>
          <w:ilvl w:val="0"/>
          <w:numId w:val="1"/>
        </w:numPr>
        <w:ind w:hanging="720"/>
        <w:rPr>
          <w:rFonts w:ascii="Times New Roman" w:hAnsi="Times New Roman" w:cs="Times New Roman"/>
          <w:sz w:val="24"/>
          <w:szCs w:val="24"/>
        </w:rPr>
      </w:pPr>
      <w:r w:rsidRPr="006B178B">
        <w:rPr>
          <w:rFonts w:ascii="Times New Roman" w:hAnsi="Times New Roman" w:cs="Times New Roman"/>
          <w:sz w:val="24"/>
          <w:szCs w:val="24"/>
        </w:rPr>
        <w:t>Being that they were both his friends it was only natural that Greco would</w:t>
      </w:r>
      <w:r w:rsidR="00CD14D0" w:rsidRPr="006B178B">
        <w:rPr>
          <w:rFonts w:ascii="Times New Roman" w:hAnsi="Times New Roman" w:cs="Times New Roman"/>
          <w:sz w:val="24"/>
          <w:szCs w:val="24"/>
        </w:rPr>
        <w:t>,</w:t>
      </w:r>
      <w:r w:rsidRPr="006B178B">
        <w:rPr>
          <w:rFonts w:ascii="Times New Roman" w:hAnsi="Times New Roman" w:cs="Times New Roman"/>
          <w:sz w:val="24"/>
          <w:szCs w:val="24"/>
        </w:rPr>
        <w:t xml:space="preserve"> out of an unspoken ethical code not reveal to Jack what Gravelle had disclosed to him in private conversations. It was only much later on when the HTA charge against Jack was dismissed which took place in mid-2010 that the relationship between Greco and Jack deepened and grew stronger than that of Greco and </w:t>
      </w:r>
      <w:proofErr w:type="spellStart"/>
      <w:r w:rsidRPr="006B178B">
        <w:rPr>
          <w:rFonts w:ascii="Times New Roman" w:hAnsi="Times New Roman" w:cs="Times New Roman"/>
          <w:sz w:val="24"/>
          <w:szCs w:val="24"/>
        </w:rPr>
        <w:t>Grevelle</w:t>
      </w:r>
      <w:proofErr w:type="spellEnd"/>
      <w:r w:rsidRPr="006B178B">
        <w:rPr>
          <w:rFonts w:ascii="Times New Roman" w:hAnsi="Times New Roman" w:cs="Times New Roman"/>
          <w:sz w:val="24"/>
          <w:szCs w:val="24"/>
        </w:rPr>
        <w:t>.</w:t>
      </w:r>
      <w:r w:rsidR="00BE2301" w:rsidRPr="006B178B">
        <w:rPr>
          <w:rStyle w:val="FootnoteReference"/>
          <w:rFonts w:ascii="Times New Roman" w:hAnsi="Times New Roman" w:cs="Times New Roman"/>
          <w:sz w:val="24"/>
          <w:szCs w:val="24"/>
        </w:rPr>
        <w:footnoteReference w:id="50"/>
      </w:r>
      <w:r w:rsidRPr="006B178B">
        <w:rPr>
          <w:rFonts w:ascii="Times New Roman" w:hAnsi="Times New Roman" w:cs="Times New Roman"/>
          <w:sz w:val="24"/>
          <w:szCs w:val="24"/>
        </w:rPr>
        <w:t xml:space="preserve"> </w:t>
      </w:r>
    </w:p>
    <w:p w:rsidR="00AD25D6" w:rsidRPr="006B178B" w:rsidRDefault="00AD25D6" w:rsidP="000A4E91">
      <w:pPr>
        <w:pStyle w:val="ListParagraph"/>
        <w:ind w:hanging="720"/>
        <w:rPr>
          <w:rFonts w:ascii="Times New Roman" w:hAnsi="Times New Roman" w:cs="Times New Roman"/>
          <w:sz w:val="24"/>
          <w:szCs w:val="24"/>
        </w:rPr>
      </w:pPr>
    </w:p>
    <w:p w:rsidR="00E42EEF" w:rsidRPr="006B178B" w:rsidRDefault="0062131B" w:rsidP="000A4E91">
      <w:pPr>
        <w:pStyle w:val="ListParagraph"/>
        <w:numPr>
          <w:ilvl w:val="0"/>
          <w:numId w:val="1"/>
        </w:numPr>
        <w:ind w:hanging="720"/>
        <w:rPr>
          <w:rFonts w:ascii="Times New Roman" w:hAnsi="Times New Roman" w:cs="Times New Roman"/>
          <w:sz w:val="24"/>
          <w:szCs w:val="24"/>
        </w:rPr>
      </w:pPr>
      <w:r w:rsidRPr="006B178B">
        <w:rPr>
          <w:rFonts w:ascii="Times New Roman" w:hAnsi="Times New Roman" w:cs="Times New Roman"/>
          <w:sz w:val="24"/>
          <w:szCs w:val="24"/>
        </w:rPr>
        <w:t>During Mr. Greco’s cross examination the HRTO learns from counsel the derogatory nature and racial nature of “Crazy Ivan”.</w:t>
      </w:r>
    </w:p>
    <w:p w:rsidR="00871AD5" w:rsidRPr="006B178B" w:rsidRDefault="00871AD5" w:rsidP="00871AD5">
      <w:pPr>
        <w:pStyle w:val="ListParagraph"/>
        <w:rPr>
          <w:rFonts w:ascii="Times New Roman" w:hAnsi="Times New Roman" w:cs="Times New Roman"/>
          <w:sz w:val="24"/>
          <w:szCs w:val="24"/>
        </w:rPr>
      </w:pPr>
    </w:p>
    <w:p w:rsidR="00BE2301" w:rsidRPr="006B178B" w:rsidRDefault="0062131B" w:rsidP="00871AD5">
      <w:pPr>
        <w:pStyle w:val="ListParagraph"/>
        <w:ind w:left="1080"/>
        <w:rPr>
          <w:rFonts w:ascii="Times New Roman" w:hAnsi="Times New Roman" w:cs="Times New Roman"/>
          <w:sz w:val="24"/>
          <w:szCs w:val="24"/>
        </w:rPr>
      </w:pPr>
      <w:r w:rsidRPr="006B178B">
        <w:rPr>
          <w:rFonts w:ascii="Times New Roman" w:hAnsi="Times New Roman" w:cs="Times New Roman"/>
          <w:sz w:val="24"/>
          <w:szCs w:val="24"/>
        </w:rPr>
        <w:t>Q.     Mr. Greco, I take it that the most significant aspect of the statements that Mr. Gravelle made to you were the racial aspect of a "Crazy Ivan"?</w:t>
      </w:r>
    </w:p>
    <w:p w:rsidR="00E42EEF" w:rsidRPr="006B178B" w:rsidRDefault="0062131B" w:rsidP="00871AD5">
      <w:pPr>
        <w:pStyle w:val="ListParagraph"/>
        <w:ind w:left="1080"/>
        <w:rPr>
          <w:rFonts w:ascii="Times New Roman" w:hAnsi="Times New Roman" w:cs="Times New Roman"/>
          <w:sz w:val="24"/>
          <w:szCs w:val="24"/>
        </w:rPr>
      </w:pPr>
      <w:r w:rsidRPr="006B178B">
        <w:rPr>
          <w:rFonts w:ascii="Times New Roman" w:hAnsi="Times New Roman" w:cs="Times New Roman"/>
          <w:sz w:val="24"/>
          <w:szCs w:val="24"/>
        </w:rPr>
        <w:t>A.     From Marc Gravelle, yes.</w:t>
      </w:r>
      <w:r w:rsidR="00BE2301" w:rsidRPr="006B178B">
        <w:rPr>
          <w:rStyle w:val="FootnoteReference"/>
          <w:rFonts w:ascii="Times New Roman" w:hAnsi="Times New Roman" w:cs="Times New Roman"/>
          <w:sz w:val="24"/>
          <w:szCs w:val="24"/>
        </w:rPr>
        <w:footnoteReference w:id="51"/>
      </w:r>
    </w:p>
    <w:p w:rsidR="00BE2301" w:rsidRPr="006B178B" w:rsidRDefault="00BE2301" w:rsidP="000A4E91">
      <w:pPr>
        <w:pStyle w:val="ListParagraph"/>
        <w:ind w:left="1080" w:hanging="720"/>
        <w:rPr>
          <w:rFonts w:ascii="Times New Roman" w:hAnsi="Times New Roman" w:cs="Times New Roman"/>
          <w:sz w:val="24"/>
          <w:szCs w:val="24"/>
        </w:rPr>
      </w:pPr>
    </w:p>
    <w:p w:rsidR="00E42EEF" w:rsidRPr="006B178B" w:rsidRDefault="0062131B" w:rsidP="000A4E91">
      <w:pPr>
        <w:pStyle w:val="ListParagraph"/>
        <w:numPr>
          <w:ilvl w:val="0"/>
          <w:numId w:val="1"/>
        </w:numPr>
        <w:ind w:hanging="720"/>
        <w:rPr>
          <w:rFonts w:ascii="Times New Roman" w:hAnsi="Times New Roman" w:cs="Times New Roman"/>
          <w:sz w:val="24"/>
          <w:szCs w:val="24"/>
        </w:rPr>
      </w:pPr>
      <w:r w:rsidRPr="006B178B">
        <w:rPr>
          <w:rFonts w:ascii="Times New Roman" w:hAnsi="Times New Roman" w:cs="Times New Roman"/>
          <w:sz w:val="24"/>
          <w:szCs w:val="24"/>
        </w:rPr>
        <w:t xml:space="preserve">Mr. Greco was cross examined on the following testimony in his examination in chief; </w:t>
      </w:r>
    </w:p>
    <w:p w:rsidR="00E42EEF" w:rsidRPr="006B178B" w:rsidRDefault="00E42EEF" w:rsidP="000A4E91">
      <w:pPr>
        <w:pStyle w:val="ListParagraph"/>
        <w:tabs>
          <w:tab w:val="left" w:pos="1080"/>
        </w:tabs>
        <w:ind w:left="1080" w:hanging="720"/>
        <w:rPr>
          <w:rFonts w:ascii="Times New Roman" w:hAnsi="Times New Roman" w:cs="Times New Roman"/>
          <w:sz w:val="24"/>
          <w:szCs w:val="24"/>
        </w:rPr>
      </w:pPr>
    </w:p>
    <w:p w:rsidR="00E42EEF" w:rsidRPr="006B178B" w:rsidRDefault="00871AD5" w:rsidP="000A4E91">
      <w:pPr>
        <w:pStyle w:val="ListParagraph"/>
        <w:tabs>
          <w:tab w:val="left" w:pos="1080"/>
        </w:tabs>
        <w:ind w:left="1080" w:hanging="720"/>
        <w:rPr>
          <w:rFonts w:ascii="Times New Roman" w:hAnsi="Times New Roman" w:cs="Times New Roman"/>
          <w:sz w:val="24"/>
          <w:szCs w:val="24"/>
        </w:rPr>
      </w:pPr>
      <w:r w:rsidRPr="006B178B">
        <w:rPr>
          <w:rFonts w:ascii="Times New Roman" w:hAnsi="Times New Roman" w:cs="Times New Roman"/>
          <w:sz w:val="24"/>
          <w:szCs w:val="24"/>
        </w:rPr>
        <w:tab/>
      </w:r>
      <w:r w:rsidR="0062131B" w:rsidRPr="006B178B">
        <w:rPr>
          <w:rFonts w:ascii="Times New Roman" w:hAnsi="Times New Roman" w:cs="Times New Roman"/>
          <w:sz w:val="24"/>
          <w:szCs w:val="24"/>
        </w:rPr>
        <w:t>THE WITNESS:     He did indicate to me that they didn't like him, that they called him</w:t>
      </w:r>
      <w:r w:rsidR="00A65259" w:rsidRPr="006B178B">
        <w:rPr>
          <w:rFonts w:ascii="Times New Roman" w:hAnsi="Times New Roman" w:cs="Times New Roman"/>
          <w:sz w:val="24"/>
          <w:szCs w:val="24"/>
        </w:rPr>
        <w:t xml:space="preserve"> </w:t>
      </w:r>
      <w:r w:rsidR="0062131B" w:rsidRPr="006B178B">
        <w:rPr>
          <w:rFonts w:ascii="Times New Roman" w:hAnsi="Times New Roman" w:cs="Times New Roman"/>
          <w:sz w:val="24"/>
          <w:szCs w:val="24"/>
        </w:rPr>
        <w:t>"Crazy Ivan".  He mocked his accent, and continued to try to persuade me not to represent Mr. Jack.  And I declined, and continued through my firm to represent Mr. Jack.</w:t>
      </w:r>
      <w:r w:rsidR="00BE2301" w:rsidRPr="006B178B">
        <w:rPr>
          <w:rStyle w:val="FootnoteReference"/>
          <w:rFonts w:ascii="Times New Roman" w:hAnsi="Times New Roman" w:cs="Times New Roman"/>
          <w:sz w:val="24"/>
          <w:szCs w:val="24"/>
        </w:rPr>
        <w:footnoteReference w:id="52"/>
      </w:r>
    </w:p>
    <w:p w:rsidR="00BE2301" w:rsidRPr="006B178B" w:rsidRDefault="00BE2301" w:rsidP="000A4E91">
      <w:pPr>
        <w:pStyle w:val="ListParagraph"/>
        <w:tabs>
          <w:tab w:val="left" w:pos="1080"/>
        </w:tabs>
        <w:ind w:left="1080" w:hanging="720"/>
        <w:rPr>
          <w:rFonts w:ascii="Times New Roman" w:hAnsi="Times New Roman" w:cs="Times New Roman"/>
          <w:sz w:val="24"/>
          <w:szCs w:val="24"/>
        </w:rPr>
      </w:pPr>
    </w:p>
    <w:p w:rsidR="00BE2301" w:rsidRPr="006B178B" w:rsidRDefault="0062131B" w:rsidP="000A4E91">
      <w:pPr>
        <w:pStyle w:val="ListParagraph"/>
        <w:numPr>
          <w:ilvl w:val="0"/>
          <w:numId w:val="1"/>
        </w:numPr>
        <w:ind w:hanging="720"/>
        <w:rPr>
          <w:rFonts w:ascii="Times New Roman" w:hAnsi="Times New Roman" w:cs="Times New Roman"/>
          <w:sz w:val="24"/>
          <w:szCs w:val="24"/>
        </w:rPr>
      </w:pPr>
      <w:r w:rsidRPr="006B178B">
        <w:rPr>
          <w:rFonts w:ascii="Times New Roman" w:hAnsi="Times New Roman" w:cs="Times New Roman"/>
          <w:sz w:val="24"/>
          <w:szCs w:val="24"/>
        </w:rPr>
        <w:t>When cross examined as to why he makes no mention of Gravelle’s comments in his statement he indicates that he did but infers not in thos</w:t>
      </w:r>
      <w:r w:rsidR="00BE2301" w:rsidRPr="006B178B">
        <w:rPr>
          <w:rFonts w:ascii="Times New Roman" w:hAnsi="Times New Roman" w:cs="Times New Roman"/>
          <w:sz w:val="24"/>
          <w:szCs w:val="24"/>
        </w:rPr>
        <w:t>e exact same words for he says:</w:t>
      </w:r>
    </w:p>
    <w:p w:rsidR="00BE2301" w:rsidRPr="006B178B" w:rsidRDefault="0062131B" w:rsidP="00871AD5">
      <w:pPr>
        <w:ind w:left="1080"/>
        <w:rPr>
          <w:rFonts w:ascii="Times New Roman" w:hAnsi="Times New Roman" w:cs="Times New Roman"/>
          <w:sz w:val="24"/>
          <w:szCs w:val="24"/>
        </w:rPr>
      </w:pPr>
      <w:r w:rsidRPr="006B178B">
        <w:rPr>
          <w:rFonts w:ascii="Times New Roman" w:hAnsi="Times New Roman" w:cs="Times New Roman"/>
          <w:sz w:val="24"/>
          <w:szCs w:val="24"/>
        </w:rPr>
        <w:t xml:space="preserve">A.     I didn't say that they didn't like him, but I did make the reference that he wouldn't be on the force very much longer, which denotes, what, that they liked him as much? </w:t>
      </w:r>
    </w:p>
    <w:p w:rsidR="00BE2301" w:rsidRPr="006B178B" w:rsidRDefault="0062131B" w:rsidP="00871AD5">
      <w:pPr>
        <w:ind w:left="1080"/>
        <w:rPr>
          <w:rFonts w:ascii="Times New Roman" w:hAnsi="Times New Roman" w:cs="Times New Roman"/>
          <w:sz w:val="24"/>
          <w:szCs w:val="24"/>
        </w:rPr>
      </w:pPr>
      <w:r w:rsidRPr="006B178B">
        <w:rPr>
          <w:rFonts w:ascii="Times New Roman" w:hAnsi="Times New Roman" w:cs="Times New Roman"/>
          <w:sz w:val="24"/>
          <w:szCs w:val="24"/>
        </w:rPr>
        <w:t>Q.     Who said that?</w:t>
      </w:r>
    </w:p>
    <w:p w:rsidR="00E42EEF" w:rsidRPr="006B178B" w:rsidRDefault="0062131B" w:rsidP="00871AD5">
      <w:pPr>
        <w:ind w:left="1080"/>
        <w:rPr>
          <w:rFonts w:ascii="Times New Roman" w:hAnsi="Times New Roman" w:cs="Times New Roman"/>
          <w:sz w:val="24"/>
          <w:szCs w:val="24"/>
        </w:rPr>
      </w:pPr>
      <w:r w:rsidRPr="006B178B">
        <w:rPr>
          <w:rFonts w:ascii="Times New Roman" w:hAnsi="Times New Roman" w:cs="Times New Roman"/>
          <w:sz w:val="24"/>
          <w:szCs w:val="24"/>
        </w:rPr>
        <w:lastRenderedPageBreak/>
        <w:t>A.     Well, this was all out of the conversation with Marc Gravelle.  Quote:</w:t>
      </w:r>
    </w:p>
    <w:p w:rsidR="00E42EEF" w:rsidRPr="006B178B" w:rsidRDefault="0062131B" w:rsidP="00871AD5">
      <w:pPr>
        <w:pStyle w:val="ListParagraph"/>
        <w:ind w:left="1440"/>
        <w:rPr>
          <w:rFonts w:ascii="Times New Roman" w:hAnsi="Times New Roman" w:cs="Times New Roman"/>
          <w:sz w:val="24"/>
          <w:szCs w:val="24"/>
        </w:rPr>
      </w:pPr>
      <w:r w:rsidRPr="006B178B">
        <w:rPr>
          <w:rFonts w:ascii="Times New Roman" w:hAnsi="Times New Roman" w:cs="Times New Roman"/>
          <w:sz w:val="24"/>
          <w:szCs w:val="24"/>
        </w:rPr>
        <w:t>"...Marc Gravelle suggested on multiple occasions that he did not think Mike would be on the force very much longer..."</w:t>
      </w:r>
      <w:r w:rsidR="00BE2301" w:rsidRPr="006B178B">
        <w:rPr>
          <w:rStyle w:val="FootnoteReference"/>
          <w:rFonts w:ascii="Times New Roman" w:hAnsi="Times New Roman" w:cs="Times New Roman"/>
          <w:sz w:val="24"/>
          <w:szCs w:val="24"/>
        </w:rPr>
        <w:footnoteReference w:id="53"/>
      </w:r>
    </w:p>
    <w:p w:rsidR="00BE2301" w:rsidRPr="006B178B" w:rsidRDefault="00BE2301" w:rsidP="000A4E91">
      <w:pPr>
        <w:pStyle w:val="ListParagraph"/>
        <w:ind w:left="1440" w:hanging="720"/>
        <w:rPr>
          <w:rFonts w:ascii="Times New Roman" w:hAnsi="Times New Roman" w:cs="Times New Roman"/>
          <w:sz w:val="24"/>
          <w:szCs w:val="24"/>
        </w:rPr>
      </w:pPr>
    </w:p>
    <w:p w:rsidR="00E42EEF" w:rsidRPr="006B178B" w:rsidRDefault="0062131B" w:rsidP="000A4E91">
      <w:pPr>
        <w:pStyle w:val="ListParagraph"/>
        <w:numPr>
          <w:ilvl w:val="0"/>
          <w:numId w:val="1"/>
        </w:numPr>
        <w:ind w:hanging="720"/>
        <w:rPr>
          <w:rFonts w:ascii="Times New Roman" w:hAnsi="Times New Roman" w:cs="Times New Roman"/>
          <w:sz w:val="24"/>
          <w:szCs w:val="24"/>
        </w:rPr>
      </w:pPr>
      <w:r w:rsidRPr="006B178B">
        <w:rPr>
          <w:rFonts w:ascii="Times New Roman" w:hAnsi="Times New Roman" w:cs="Times New Roman"/>
          <w:sz w:val="24"/>
          <w:szCs w:val="24"/>
        </w:rPr>
        <w:t xml:space="preserve">Mr. Greco attempts to give an explanation to counsel Bill Manuel as to why he only alludes to Gravelle’s comments in his statement but is silenced by counsel. </w:t>
      </w:r>
    </w:p>
    <w:p w:rsidR="00E51CCB" w:rsidRPr="006B178B" w:rsidRDefault="00E51CCB" w:rsidP="000A4E91">
      <w:pPr>
        <w:pStyle w:val="ListParagraph"/>
        <w:ind w:left="1080" w:hanging="720"/>
        <w:rPr>
          <w:rFonts w:ascii="Times New Roman" w:hAnsi="Times New Roman" w:cs="Times New Roman"/>
          <w:sz w:val="24"/>
          <w:szCs w:val="24"/>
        </w:rPr>
      </w:pPr>
    </w:p>
    <w:p w:rsidR="00E42EEF" w:rsidRPr="006B178B" w:rsidRDefault="0062131B" w:rsidP="00871AD5">
      <w:pPr>
        <w:pStyle w:val="ListParagraph"/>
        <w:ind w:left="1080"/>
        <w:rPr>
          <w:rFonts w:ascii="Times New Roman" w:hAnsi="Times New Roman" w:cs="Times New Roman"/>
          <w:sz w:val="24"/>
          <w:szCs w:val="24"/>
        </w:rPr>
      </w:pPr>
      <w:r w:rsidRPr="006B178B">
        <w:rPr>
          <w:rFonts w:ascii="Times New Roman" w:hAnsi="Times New Roman" w:cs="Times New Roman"/>
          <w:sz w:val="24"/>
          <w:szCs w:val="24"/>
        </w:rPr>
        <w:t xml:space="preserve">A.     Can I give a reply why?  </w:t>
      </w:r>
      <w:proofErr w:type="gramStart"/>
      <w:r w:rsidRPr="006B178B">
        <w:rPr>
          <w:rFonts w:ascii="Times New Roman" w:hAnsi="Times New Roman" w:cs="Times New Roman"/>
          <w:sz w:val="24"/>
          <w:szCs w:val="24"/>
        </w:rPr>
        <w:t>Or...</w:t>
      </w:r>
      <w:proofErr w:type="gramEnd"/>
      <w:r w:rsidRPr="006B178B">
        <w:rPr>
          <w:rFonts w:ascii="Times New Roman" w:hAnsi="Times New Roman" w:cs="Times New Roman"/>
          <w:sz w:val="24"/>
          <w:szCs w:val="24"/>
        </w:rPr>
        <w:t xml:space="preserve"> </w:t>
      </w:r>
    </w:p>
    <w:p w:rsidR="00E42EEF" w:rsidRPr="006B178B" w:rsidRDefault="00BE2301" w:rsidP="00871AD5">
      <w:pPr>
        <w:pStyle w:val="ListParagraph"/>
        <w:ind w:left="1080"/>
        <w:rPr>
          <w:rFonts w:ascii="Times New Roman" w:hAnsi="Times New Roman" w:cs="Times New Roman"/>
          <w:sz w:val="24"/>
          <w:szCs w:val="24"/>
        </w:rPr>
      </w:pPr>
      <w:r w:rsidRPr="006B178B">
        <w:rPr>
          <w:rFonts w:ascii="Times New Roman" w:hAnsi="Times New Roman" w:cs="Times New Roman"/>
          <w:sz w:val="24"/>
          <w:szCs w:val="24"/>
        </w:rPr>
        <w:t xml:space="preserve">Q.     No. </w:t>
      </w:r>
      <w:r w:rsidRPr="006B178B">
        <w:rPr>
          <w:rStyle w:val="FootnoteReference"/>
          <w:rFonts w:ascii="Times New Roman" w:hAnsi="Times New Roman" w:cs="Times New Roman"/>
          <w:sz w:val="24"/>
          <w:szCs w:val="24"/>
        </w:rPr>
        <w:footnoteReference w:id="54"/>
      </w:r>
    </w:p>
    <w:p w:rsidR="00BE2301" w:rsidRPr="006B178B" w:rsidRDefault="00BE2301" w:rsidP="000A4E91">
      <w:pPr>
        <w:pStyle w:val="ListParagraph"/>
        <w:ind w:hanging="720"/>
        <w:rPr>
          <w:rFonts w:ascii="Times New Roman" w:hAnsi="Times New Roman" w:cs="Times New Roman"/>
          <w:sz w:val="24"/>
          <w:szCs w:val="24"/>
        </w:rPr>
      </w:pPr>
    </w:p>
    <w:p w:rsidR="00E42EEF" w:rsidRPr="006B178B" w:rsidRDefault="0062131B" w:rsidP="000A4E91">
      <w:pPr>
        <w:pStyle w:val="ListParagraph"/>
        <w:numPr>
          <w:ilvl w:val="0"/>
          <w:numId w:val="1"/>
        </w:numPr>
        <w:ind w:hanging="720"/>
        <w:rPr>
          <w:rFonts w:ascii="Times New Roman" w:hAnsi="Times New Roman" w:cs="Times New Roman"/>
          <w:sz w:val="24"/>
          <w:szCs w:val="24"/>
        </w:rPr>
      </w:pPr>
      <w:r w:rsidRPr="006B178B">
        <w:rPr>
          <w:rFonts w:ascii="Times New Roman" w:hAnsi="Times New Roman" w:cs="Times New Roman"/>
          <w:sz w:val="24"/>
          <w:szCs w:val="24"/>
        </w:rPr>
        <w:t>In re-examination Greco is now asked to give his reason and counsel tried to object to the very door he opened but what came out of Greco was cogent testimony and a rational explanation. The underhand tactics of counsel was not held in check by the VC rather they were made to deliberately confuse the applicant who was handling this witness.  Simply put there was no basis for the objection.</w:t>
      </w:r>
    </w:p>
    <w:p w:rsidR="00E42EEF" w:rsidRPr="006B178B" w:rsidRDefault="0062131B" w:rsidP="00871AD5">
      <w:pPr>
        <w:ind w:left="1080"/>
        <w:rPr>
          <w:rFonts w:ascii="Times New Roman" w:hAnsi="Times New Roman" w:cs="Times New Roman"/>
          <w:sz w:val="24"/>
          <w:szCs w:val="24"/>
        </w:rPr>
      </w:pPr>
      <w:r w:rsidRPr="006B178B">
        <w:rPr>
          <w:rFonts w:ascii="Times New Roman" w:hAnsi="Times New Roman" w:cs="Times New Roman"/>
          <w:sz w:val="24"/>
          <w:szCs w:val="24"/>
        </w:rPr>
        <w:t>Q.     The counsel just raised a number of points, and you wanted to provide your response to that.</w:t>
      </w:r>
    </w:p>
    <w:p w:rsidR="00E42EEF" w:rsidRPr="006B178B" w:rsidRDefault="0062131B" w:rsidP="00871AD5">
      <w:pPr>
        <w:ind w:left="1080"/>
        <w:rPr>
          <w:rFonts w:ascii="Times New Roman" w:hAnsi="Times New Roman" w:cs="Times New Roman"/>
          <w:sz w:val="24"/>
          <w:szCs w:val="24"/>
        </w:rPr>
      </w:pPr>
      <w:r w:rsidRPr="006B178B">
        <w:rPr>
          <w:rFonts w:ascii="Times New Roman" w:hAnsi="Times New Roman" w:cs="Times New Roman"/>
          <w:sz w:val="24"/>
          <w:szCs w:val="24"/>
        </w:rPr>
        <w:t>A.     Yes.</w:t>
      </w:r>
    </w:p>
    <w:p w:rsidR="00E42EEF" w:rsidRPr="006B178B" w:rsidRDefault="0062131B" w:rsidP="00871AD5">
      <w:pPr>
        <w:ind w:left="1080"/>
        <w:rPr>
          <w:rFonts w:ascii="Times New Roman" w:hAnsi="Times New Roman" w:cs="Times New Roman"/>
          <w:sz w:val="24"/>
          <w:szCs w:val="24"/>
        </w:rPr>
      </w:pPr>
      <w:r w:rsidRPr="006B178B">
        <w:rPr>
          <w:rFonts w:ascii="Times New Roman" w:hAnsi="Times New Roman" w:cs="Times New Roman"/>
          <w:sz w:val="24"/>
          <w:szCs w:val="24"/>
        </w:rPr>
        <w:t>Q.     So, I would like to hear your response.</w:t>
      </w:r>
    </w:p>
    <w:p w:rsidR="00E42EEF" w:rsidRPr="006B178B" w:rsidRDefault="0062131B" w:rsidP="00871AD5">
      <w:pPr>
        <w:ind w:left="1080"/>
        <w:rPr>
          <w:rFonts w:ascii="Times New Roman" w:hAnsi="Times New Roman" w:cs="Times New Roman"/>
          <w:sz w:val="24"/>
          <w:szCs w:val="24"/>
        </w:rPr>
      </w:pPr>
      <w:r w:rsidRPr="006B178B">
        <w:rPr>
          <w:rFonts w:ascii="Times New Roman" w:hAnsi="Times New Roman" w:cs="Times New Roman"/>
          <w:sz w:val="24"/>
          <w:szCs w:val="24"/>
        </w:rPr>
        <w:t>A.     With respect to the comments from Marc Gravelle, there was only twice in my career that I have had court officials try to dissuade me from representing someone.  One was a Hells Angels Captain.  The second was Mr. Jack.</w:t>
      </w:r>
    </w:p>
    <w:p w:rsidR="00E42EEF" w:rsidRPr="006B178B" w:rsidRDefault="0062131B" w:rsidP="00871AD5">
      <w:pPr>
        <w:ind w:left="1080"/>
        <w:rPr>
          <w:rFonts w:ascii="Times New Roman" w:hAnsi="Times New Roman" w:cs="Times New Roman"/>
          <w:sz w:val="24"/>
          <w:szCs w:val="24"/>
        </w:rPr>
      </w:pPr>
      <w:r w:rsidRPr="006B178B">
        <w:rPr>
          <w:rFonts w:ascii="Times New Roman" w:hAnsi="Times New Roman" w:cs="Times New Roman"/>
          <w:sz w:val="24"/>
          <w:szCs w:val="24"/>
        </w:rPr>
        <w:t>MR. MANUEL:     Is this reply?</w:t>
      </w:r>
    </w:p>
    <w:p w:rsidR="00E42EEF" w:rsidRPr="006B178B" w:rsidRDefault="0062131B" w:rsidP="00871AD5">
      <w:pPr>
        <w:ind w:left="1080"/>
        <w:rPr>
          <w:rFonts w:ascii="Times New Roman" w:hAnsi="Times New Roman" w:cs="Times New Roman"/>
          <w:sz w:val="24"/>
          <w:szCs w:val="24"/>
        </w:rPr>
      </w:pPr>
      <w:r w:rsidRPr="006B178B">
        <w:rPr>
          <w:rFonts w:ascii="Times New Roman" w:hAnsi="Times New Roman" w:cs="Times New Roman"/>
          <w:sz w:val="24"/>
          <w:szCs w:val="24"/>
        </w:rPr>
        <w:t>THE WITNESS:     So, if...</w:t>
      </w:r>
    </w:p>
    <w:p w:rsidR="00E42EEF" w:rsidRPr="006B178B" w:rsidRDefault="0062131B" w:rsidP="00871AD5">
      <w:pPr>
        <w:ind w:left="1080"/>
        <w:rPr>
          <w:rFonts w:ascii="Times New Roman" w:hAnsi="Times New Roman" w:cs="Times New Roman"/>
          <w:sz w:val="24"/>
          <w:szCs w:val="24"/>
        </w:rPr>
      </w:pPr>
      <w:r w:rsidRPr="006B178B">
        <w:rPr>
          <w:rFonts w:ascii="Times New Roman" w:hAnsi="Times New Roman" w:cs="Times New Roman"/>
          <w:sz w:val="24"/>
          <w:szCs w:val="24"/>
        </w:rPr>
        <w:t xml:space="preserve"> MR. MANUEL:     I didn't question on that. </w:t>
      </w:r>
    </w:p>
    <w:p w:rsidR="00E42EEF" w:rsidRPr="006B178B" w:rsidRDefault="0062131B" w:rsidP="00871AD5">
      <w:pPr>
        <w:ind w:left="1080"/>
        <w:rPr>
          <w:rFonts w:ascii="Times New Roman" w:hAnsi="Times New Roman" w:cs="Times New Roman"/>
          <w:sz w:val="24"/>
          <w:szCs w:val="24"/>
        </w:rPr>
      </w:pPr>
      <w:r w:rsidRPr="006B178B">
        <w:rPr>
          <w:rFonts w:ascii="Times New Roman" w:hAnsi="Times New Roman" w:cs="Times New Roman"/>
          <w:sz w:val="24"/>
          <w:szCs w:val="24"/>
        </w:rPr>
        <w:t xml:space="preserve">THE WITNESS:     So, I have testified today something that went beyond the affidavit, because I remember very clearly.  You don't forget something like that, and you don't articulate in something like this mocking the accent.  This was something drawn up in anticipation of the fact that I eventually thought I would be able to testify, and here I am.  But I will assure you, sir, the reference was, "Crazy Ivan", and the mocking was in Russian accent.  No question, which was consistent with everything he had to tell me about what was going on in that force.                      </w:t>
      </w:r>
    </w:p>
    <w:p w:rsidR="00E42EEF" w:rsidRPr="006B178B" w:rsidRDefault="0062131B" w:rsidP="00871AD5">
      <w:pPr>
        <w:ind w:left="1080"/>
        <w:rPr>
          <w:rFonts w:ascii="Times New Roman" w:hAnsi="Times New Roman" w:cs="Times New Roman"/>
          <w:sz w:val="24"/>
          <w:szCs w:val="24"/>
        </w:rPr>
      </w:pPr>
      <w:r w:rsidRPr="006B178B">
        <w:rPr>
          <w:rFonts w:ascii="Times New Roman" w:hAnsi="Times New Roman" w:cs="Times New Roman"/>
          <w:sz w:val="24"/>
          <w:szCs w:val="24"/>
        </w:rPr>
        <w:t>MR. MANUEL:     We are way, way off.  This is not proper reply.</w:t>
      </w:r>
      <w:r w:rsidR="00BE2301" w:rsidRPr="006B178B">
        <w:rPr>
          <w:rStyle w:val="FootnoteReference"/>
          <w:rFonts w:ascii="Times New Roman" w:hAnsi="Times New Roman" w:cs="Times New Roman"/>
          <w:sz w:val="24"/>
          <w:szCs w:val="24"/>
        </w:rPr>
        <w:footnoteReference w:id="55"/>
      </w:r>
      <w:r w:rsidRPr="006B178B">
        <w:rPr>
          <w:rFonts w:ascii="Times New Roman" w:hAnsi="Times New Roman" w:cs="Times New Roman"/>
          <w:sz w:val="24"/>
          <w:szCs w:val="24"/>
        </w:rPr>
        <w:t xml:space="preserve">  </w:t>
      </w:r>
    </w:p>
    <w:p w:rsidR="00E42EEF" w:rsidRPr="006B178B" w:rsidRDefault="0062131B" w:rsidP="000A4E91">
      <w:pPr>
        <w:pStyle w:val="ListParagraph"/>
        <w:numPr>
          <w:ilvl w:val="0"/>
          <w:numId w:val="1"/>
        </w:numPr>
        <w:ind w:hanging="720"/>
        <w:rPr>
          <w:rFonts w:ascii="Times New Roman" w:hAnsi="Times New Roman" w:cs="Times New Roman"/>
          <w:sz w:val="24"/>
          <w:szCs w:val="24"/>
        </w:rPr>
      </w:pPr>
      <w:r w:rsidRPr="006B178B">
        <w:rPr>
          <w:rFonts w:ascii="Times New Roman" w:hAnsi="Times New Roman" w:cs="Times New Roman"/>
          <w:sz w:val="24"/>
          <w:szCs w:val="24"/>
        </w:rPr>
        <w:lastRenderedPageBreak/>
        <w:t>Paragraphs 4</w:t>
      </w:r>
      <w:r w:rsidR="005041CF" w:rsidRPr="006B178B">
        <w:rPr>
          <w:rFonts w:ascii="Times New Roman" w:hAnsi="Times New Roman" w:cs="Times New Roman"/>
          <w:sz w:val="24"/>
          <w:szCs w:val="24"/>
        </w:rPr>
        <w:t>2</w:t>
      </w:r>
      <w:r w:rsidRPr="006B178B">
        <w:rPr>
          <w:rFonts w:ascii="Times New Roman" w:hAnsi="Times New Roman" w:cs="Times New Roman"/>
          <w:sz w:val="24"/>
          <w:szCs w:val="24"/>
        </w:rPr>
        <w:t xml:space="preserve"> to 5</w:t>
      </w:r>
      <w:r w:rsidR="005041CF" w:rsidRPr="006B178B">
        <w:rPr>
          <w:rFonts w:ascii="Times New Roman" w:hAnsi="Times New Roman" w:cs="Times New Roman"/>
          <w:sz w:val="24"/>
          <w:szCs w:val="24"/>
        </w:rPr>
        <w:t>1</w:t>
      </w:r>
      <w:r w:rsidRPr="006B178B">
        <w:rPr>
          <w:rFonts w:ascii="Times New Roman" w:hAnsi="Times New Roman" w:cs="Times New Roman"/>
          <w:sz w:val="24"/>
          <w:szCs w:val="24"/>
        </w:rPr>
        <w:t xml:space="preserve"> in this request </w:t>
      </w:r>
      <w:r w:rsidR="005041CF" w:rsidRPr="006B178B">
        <w:rPr>
          <w:rFonts w:ascii="Times New Roman" w:hAnsi="Times New Roman" w:cs="Times New Roman"/>
          <w:sz w:val="24"/>
          <w:szCs w:val="24"/>
        </w:rPr>
        <w:t xml:space="preserve">for reconsideration </w:t>
      </w:r>
      <w:r w:rsidRPr="006B178B">
        <w:rPr>
          <w:rFonts w:ascii="Times New Roman" w:hAnsi="Times New Roman" w:cs="Times New Roman"/>
          <w:sz w:val="24"/>
          <w:szCs w:val="24"/>
        </w:rPr>
        <w:t xml:space="preserve">are just an example of an analysis of the transcripts to refute the assertion held by the VC in paragraph 30 of his decision. But it was time consuming and onerous. It was much easier to simply dismiss the one and only witness for the applicant on a rather narrow and subjective view of the VC that if Jack was his friend then Greco ought to have disclosed the information Gravelle was making about Jack. </w:t>
      </w:r>
    </w:p>
    <w:p w:rsidR="00E42EEF" w:rsidRPr="006B178B" w:rsidRDefault="00E42EEF" w:rsidP="000A4E91">
      <w:pPr>
        <w:pStyle w:val="ListParagraph"/>
        <w:ind w:hanging="720"/>
        <w:rPr>
          <w:rFonts w:ascii="Times New Roman" w:hAnsi="Times New Roman" w:cs="Times New Roman"/>
          <w:sz w:val="24"/>
          <w:szCs w:val="24"/>
        </w:rPr>
      </w:pPr>
    </w:p>
    <w:p w:rsidR="00E42EEF" w:rsidRPr="006B178B" w:rsidRDefault="0062131B" w:rsidP="000A4E91">
      <w:pPr>
        <w:pStyle w:val="ListParagraph"/>
        <w:numPr>
          <w:ilvl w:val="0"/>
          <w:numId w:val="1"/>
        </w:numPr>
        <w:ind w:hanging="720"/>
        <w:rPr>
          <w:rFonts w:ascii="Times New Roman" w:hAnsi="Times New Roman" w:cs="Times New Roman"/>
          <w:sz w:val="24"/>
          <w:szCs w:val="24"/>
        </w:rPr>
      </w:pPr>
      <w:r w:rsidRPr="006B178B">
        <w:rPr>
          <w:rFonts w:ascii="Times New Roman" w:hAnsi="Times New Roman" w:cs="Times New Roman"/>
          <w:sz w:val="24"/>
          <w:szCs w:val="24"/>
        </w:rPr>
        <w:t>It is evident that what is stated in paragraph 37 of the decision anything that was detrimental to the position of the respondent was simply dismissed as unreliable.</w:t>
      </w:r>
    </w:p>
    <w:p w:rsidR="007A4D8F" w:rsidRPr="006B178B" w:rsidRDefault="007A4D8F" w:rsidP="00871AD5">
      <w:pPr>
        <w:ind w:left="360" w:hanging="360"/>
        <w:rPr>
          <w:rFonts w:ascii="Times New Roman" w:hAnsi="Times New Roman" w:cs="Times New Roman"/>
          <w:b/>
          <w:sz w:val="24"/>
          <w:szCs w:val="24"/>
          <w:u w:val="single"/>
        </w:rPr>
      </w:pPr>
      <w:r w:rsidRPr="006B178B">
        <w:rPr>
          <w:rFonts w:ascii="Times New Roman" w:hAnsi="Times New Roman" w:cs="Times New Roman"/>
          <w:b/>
          <w:sz w:val="24"/>
          <w:szCs w:val="24"/>
          <w:u w:val="single"/>
        </w:rPr>
        <w:t>Patently Unreasonable – Failing to see the whole picture</w:t>
      </w:r>
    </w:p>
    <w:p w:rsidR="00E42EEF" w:rsidRPr="006B178B" w:rsidRDefault="0062131B" w:rsidP="000A4E91">
      <w:pPr>
        <w:pStyle w:val="ListParagraph"/>
        <w:numPr>
          <w:ilvl w:val="0"/>
          <w:numId w:val="1"/>
        </w:numPr>
        <w:ind w:hanging="720"/>
        <w:rPr>
          <w:rFonts w:ascii="Times New Roman" w:hAnsi="Times New Roman" w:cs="Times New Roman"/>
          <w:sz w:val="24"/>
          <w:szCs w:val="24"/>
        </w:rPr>
      </w:pPr>
      <w:r w:rsidRPr="006B178B">
        <w:rPr>
          <w:rFonts w:ascii="Times New Roman" w:hAnsi="Times New Roman" w:cs="Times New Roman"/>
          <w:sz w:val="24"/>
          <w:szCs w:val="24"/>
        </w:rPr>
        <w:t>With respect to paragraph 41 of the decision the applicant submits that discrimination is made out by the differential treatment he received as documented in item 3 o</w:t>
      </w:r>
      <w:r w:rsidR="00AD25D6" w:rsidRPr="006B178B">
        <w:rPr>
          <w:rFonts w:ascii="Times New Roman" w:hAnsi="Times New Roman" w:cs="Times New Roman"/>
          <w:sz w:val="24"/>
          <w:szCs w:val="24"/>
        </w:rPr>
        <w:t>f paragraph 40 of the decision.</w:t>
      </w:r>
    </w:p>
    <w:p w:rsidR="0040787F" w:rsidRPr="006B178B" w:rsidRDefault="0040787F" w:rsidP="0040787F">
      <w:pPr>
        <w:pStyle w:val="ListParagraph"/>
        <w:rPr>
          <w:rFonts w:ascii="Times New Roman" w:hAnsi="Times New Roman" w:cs="Times New Roman"/>
          <w:sz w:val="24"/>
          <w:szCs w:val="24"/>
        </w:rPr>
      </w:pPr>
    </w:p>
    <w:p w:rsidR="001B415C" w:rsidRPr="006B178B" w:rsidRDefault="0062131B" w:rsidP="000A4E91">
      <w:pPr>
        <w:pStyle w:val="ListParagraph"/>
        <w:numPr>
          <w:ilvl w:val="0"/>
          <w:numId w:val="1"/>
        </w:numPr>
        <w:ind w:hanging="720"/>
        <w:rPr>
          <w:rFonts w:ascii="Times New Roman" w:hAnsi="Times New Roman" w:cs="Times New Roman"/>
          <w:sz w:val="24"/>
          <w:szCs w:val="24"/>
        </w:rPr>
      </w:pPr>
      <w:r w:rsidRPr="006B178B">
        <w:rPr>
          <w:rFonts w:ascii="Times New Roman" w:hAnsi="Times New Roman" w:cs="Times New Roman"/>
          <w:sz w:val="24"/>
          <w:szCs w:val="24"/>
        </w:rPr>
        <w:t xml:space="preserve">With respect to </w:t>
      </w:r>
      <w:r w:rsidR="00AD25D6" w:rsidRPr="006B178B">
        <w:rPr>
          <w:rFonts w:ascii="Times New Roman" w:hAnsi="Times New Roman" w:cs="Times New Roman"/>
          <w:sz w:val="24"/>
          <w:szCs w:val="24"/>
        </w:rPr>
        <w:t xml:space="preserve">paragraph </w:t>
      </w:r>
      <w:r w:rsidRPr="006B178B">
        <w:rPr>
          <w:rFonts w:ascii="Times New Roman" w:hAnsi="Times New Roman" w:cs="Times New Roman"/>
          <w:sz w:val="24"/>
          <w:szCs w:val="24"/>
        </w:rPr>
        <w:t xml:space="preserve">44 in the decision, the Tribunal’s own rules stipulate that discrimination can be manifested through differential management standards and scrutiny. All of which have been elicited during the course of the hearing and outlined in the </w:t>
      </w:r>
      <w:r w:rsidR="0070143C" w:rsidRPr="006B178B">
        <w:rPr>
          <w:rFonts w:ascii="Times New Roman" w:hAnsi="Times New Roman" w:cs="Times New Roman"/>
          <w:sz w:val="24"/>
          <w:szCs w:val="24"/>
        </w:rPr>
        <w:t xml:space="preserve">applicant’s </w:t>
      </w:r>
      <w:r w:rsidRPr="006B178B">
        <w:rPr>
          <w:rFonts w:ascii="Times New Roman" w:hAnsi="Times New Roman" w:cs="Times New Roman"/>
          <w:sz w:val="24"/>
          <w:szCs w:val="24"/>
        </w:rPr>
        <w:t xml:space="preserve">closing submission, yet all those facts, and not just allegations, are simply dismissed. </w:t>
      </w:r>
    </w:p>
    <w:p w:rsidR="001B415C" w:rsidRPr="006B178B" w:rsidRDefault="001B415C" w:rsidP="000A4E91">
      <w:pPr>
        <w:pStyle w:val="ListParagraph"/>
        <w:ind w:hanging="720"/>
        <w:rPr>
          <w:rFonts w:ascii="Times New Roman" w:hAnsi="Times New Roman" w:cs="Times New Roman"/>
          <w:sz w:val="24"/>
          <w:szCs w:val="24"/>
        </w:rPr>
      </w:pPr>
    </w:p>
    <w:p w:rsidR="00E42EEF" w:rsidRPr="006B178B" w:rsidRDefault="0062131B" w:rsidP="000A4E91">
      <w:pPr>
        <w:pStyle w:val="ListParagraph"/>
        <w:numPr>
          <w:ilvl w:val="0"/>
          <w:numId w:val="1"/>
        </w:numPr>
        <w:ind w:hanging="720"/>
        <w:rPr>
          <w:rFonts w:ascii="Times New Roman" w:hAnsi="Times New Roman" w:cs="Times New Roman"/>
          <w:b/>
          <w:sz w:val="24"/>
          <w:szCs w:val="24"/>
          <w:u w:val="single"/>
        </w:rPr>
      </w:pPr>
      <w:r w:rsidRPr="006B178B">
        <w:rPr>
          <w:rFonts w:ascii="Times New Roman" w:hAnsi="Times New Roman" w:cs="Times New Roman"/>
          <w:sz w:val="24"/>
          <w:szCs w:val="24"/>
        </w:rPr>
        <w:t>The VC attempts to refute the applicant’s assertion of why the HTA charges were laid against Jack along with a negative 233-10 documentation. Just because OPP policy allows the use of two disciplinary processes to address a member’s wrong actions does not mean that one has to use both. Discretion is an authority every officer has under the HTA and that authority supersedes an organization’s policies. If Flindall really wanted to help the applicant develop and pass his probationary term a simple negative 233-10 or a simple caution would have sufficed. However Flindall’s actions towards Jack do serve to display his ‘strong dislike’ of the applicant.</w:t>
      </w:r>
      <w:r w:rsidRPr="006B178B">
        <w:rPr>
          <w:rStyle w:val="FootnoteReference"/>
          <w:rFonts w:ascii="Times New Roman" w:hAnsi="Times New Roman" w:cs="Times New Roman"/>
          <w:sz w:val="24"/>
          <w:szCs w:val="24"/>
        </w:rPr>
        <w:footnoteReference w:id="56"/>
      </w:r>
    </w:p>
    <w:p w:rsidR="00E42EEF" w:rsidRPr="006B178B" w:rsidRDefault="00E42EEF" w:rsidP="000A4E91">
      <w:pPr>
        <w:pStyle w:val="ListParagraph"/>
        <w:ind w:hanging="720"/>
        <w:rPr>
          <w:rFonts w:ascii="Times New Roman" w:hAnsi="Times New Roman" w:cs="Times New Roman"/>
          <w:b/>
          <w:sz w:val="24"/>
          <w:szCs w:val="24"/>
          <w:u w:val="single"/>
        </w:rPr>
      </w:pPr>
    </w:p>
    <w:p w:rsidR="0038639C" w:rsidRPr="006B178B" w:rsidRDefault="0062131B" w:rsidP="000A4E91">
      <w:pPr>
        <w:pStyle w:val="ListParagraph"/>
        <w:numPr>
          <w:ilvl w:val="0"/>
          <w:numId w:val="1"/>
        </w:numPr>
        <w:spacing w:after="240" w:line="240" w:lineRule="auto"/>
        <w:ind w:hanging="720"/>
        <w:jc w:val="both"/>
        <w:rPr>
          <w:rFonts w:ascii="Times New Roman" w:eastAsia="Times New Roman" w:hAnsi="Times New Roman" w:cs="Times New Roman"/>
          <w:color w:val="000000"/>
          <w:sz w:val="24"/>
          <w:szCs w:val="24"/>
        </w:rPr>
      </w:pPr>
      <w:r w:rsidRPr="006B178B">
        <w:rPr>
          <w:rFonts w:ascii="Times New Roman" w:hAnsi="Times New Roman" w:cs="Times New Roman"/>
          <w:sz w:val="24"/>
          <w:szCs w:val="24"/>
        </w:rPr>
        <w:t xml:space="preserve">Furthermore, did the VC forget that it is easy for one to examine each individual allegation or incident and ask how </w:t>
      </w:r>
      <w:proofErr w:type="gramStart"/>
      <w:r w:rsidRPr="006B178B">
        <w:rPr>
          <w:rFonts w:ascii="Times New Roman" w:hAnsi="Times New Roman" w:cs="Times New Roman"/>
          <w:sz w:val="24"/>
          <w:szCs w:val="24"/>
        </w:rPr>
        <w:t xml:space="preserve">is that discrimination of a </w:t>
      </w:r>
      <w:r w:rsidRPr="006B178B">
        <w:rPr>
          <w:rFonts w:ascii="Times New Roman" w:hAnsi="Times New Roman" w:cs="Times New Roman"/>
          <w:i/>
          <w:sz w:val="24"/>
          <w:szCs w:val="24"/>
        </w:rPr>
        <w:t>Code</w:t>
      </w:r>
      <w:r w:rsidRPr="006B178B">
        <w:rPr>
          <w:rFonts w:ascii="Times New Roman" w:hAnsi="Times New Roman" w:cs="Times New Roman"/>
          <w:sz w:val="24"/>
          <w:szCs w:val="24"/>
        </w:rPr>
        <w:t xml:space="preserve"> protected ground</w:t>
      </w:r>
      <w:proofErr w:type="gramEnd"/>
      <w:r w:rsidRPr="006B178B">
        <w:rPr>
          <w:rFonts w:ascii="Times New Roman" w:hAnsi="Times New Roman" w:cs="Times New Roman"/>
          <w:sz w:val="24"/>
          <w:szCs w:val="24"/>
        </w:rPr>
        <w:t>? Such a method of examination can easily dismiss an</w:t>
      </w:r>
      <w:r w:rsidR="00460E8E" w:rsidRPr="006B178B">
        <w:rPr>
          <w:rFonts w:ascii="Times New Roman" w:hAnsi="Times New Roman" w:cs="Times New Roman"/>
          <w:sz w:val="24"/>
          <w:szCs w:val="24"/>
        </w:rPr>
        <w:t>y</w:t>
      </w:r>
      <w:r w:rsidRPr="006B178B">
        <w:rPr>
          <w:rFonts w:ascii="Times New Roman" w:hAnsi="Times New Roman" w:cs="Times New Roman"/>
          <w:sz w:val="24"/>
          <w:szCs w:val="24"/>
        </w:rPr>
        <w:t xml:space="preserve"> application. It is only when all incidents and allegations are examined collectivel</w:t>
      </w:r>
      <w:r w:rsidR="00D94F2B" w:rsidRPr="006B178B">
        <w:rPr>
          <w:rFonts w:ascii="Times New Roman" w:hAnsi="Times New Roman" w:cs="Times New Roman"/>
          <w:sz w:val="24"/>
          <w:szCs w:val="24"/>
        </w:rPr>
        <w:t>y</w:t>
      </w:r>
      <w:r w:rsidR="00460E8E" w:rsidRPr="006B178B">
        <w:rPr>
          <w:rFonts w:ascii="Times New Roman" w:hAnsi="Times New Roman" w:cs="Times New Roman"/>
          <w:sz w:val="24"/>
          <w:szCs w:val="24"/>
        </w:rPr>
        <w:t xml:space="preserve"> </w:t>
      </w:r>
      <w:r w:rsidRPr="006B178B">
        <w:rPr>
          <w:rFonts w:ascii="Times New Roman" w:hAnsi="Times New Roman" w:cs="Times New Roman"/>
          <w:sz w:val="24"/>
          <w:szCs w:val="24"/>
        </w:rPr>
        <w:t>th</w:t>
      </w:r>
      <w:r w:rsidR="00E51CCB" w:rsidRPr="006B178B">
        <w:rPr>
          <w:rFonts w:ascii="Times New Roman" w:hAnsi="Times New Roman" w:cs="Times New Roman"/>
          <w:sz w:val="24"/>
          <w:szCs w:val="24"/>
        </w:rPr>
        <w:t>at they</w:t>
      </w:r>
      <w:r w:rsidRPr="006B178B">
        <w:rPr>
          <w:rFonts w:ascii="Times New Roman" w:hAnsi="Times New Roman" w:cs="Times New Roman"/>
          <w:sz w:val="24"/>
          <w:szCs w:val="24"/>
        </w:rPr>
        <w:t xml:space="preserve"> </w:t>
      </w:r>
      <w:r w:rsidR="0070143C" w:rsidRPr="006B178B">
        <w:rPr>
          <w:rFonts w:ascii="Times New Roman" w:hAnsi="Times New Roman" w:cs="Times New Roman"/>
          <w:sz w:val="24"/>
          <w:szCs w:val="24"/>
        </w:rPr>
        <w:t>lead</w:t>
      </w:r>
      <w:r w:rsidRPr="006B178B">
        <w:rPr>
          <w:rFonts w:ascii="Times New Roman" w:hAnsi="Times New Roman" w:cs="Times New Roman"/>
          <w:sz w:val="24"/>
          <w:szCs w:val="24"/>
        </w:rPr>
        <w:t xml:space="preserve"> up to Human Right</w:t>
      </w:r>
      <w:r w:rsidR="00D94F2B" w:rsidRPr="006B178B">
        <w:rPr>
          <w:rFonts w:ascii="Times New Roman" w:hAnsi="Times New Roman" w:cs="Times New Roman"/>
          <w:sz w:val="24"/>
          <w:szCs w:val="24"/>
        </w:rPr>
        <w:t>s</w:t>
      </w:r>
      <w:r w:rsidR="00460E8E" w:rsidRPr="006B178B">
        <w:rPr>
          <w:rFonts w:ascii="Times New Roman" w:hAnsi="Times New Roman" w:cs="Times New Roman"/>
          <w:sz w:val="24"/>
          <w:szCs w:val="24"/>
        </w:rPr>
        <w:t xml:space="preserve"> violations.</w:t>
      </w:r>
    </w:p>
    <w:p w:rsidR="0038639C" w:rsidRPr="006B178B" w:rsidRDefault="0038639C" w:rsidP="000A4E91">
      <w:pPr>
        <w:pStyle w:val="ListParagraph"/>
        <w:ind w:hanging="720"/>
        <w:rPr>
          <w:rFonts w:ascii="Times New Roman" w:eastAsia="Times New Roman" w:hAnsi="Times New Roman" w:cs="Times New Roman"/>
          <w:color w:val="000000"/>
          <w:sz w:val="24"/>
          <w:szCs w:val="24"/>
        </w:rPr>
      </w:pPr>
    </w:p>
    <w:p w:rsidR="0038639C" w:rsidRPr="006B178B" w:rsidRDefault="00CD14D0" w:rsidP="000A4E91">
      <w:pPr>
        <w:pStyle w:val="ListParagraph"/>
        <w:numPr>
          <w:ilvl w:val="0"/>
          <w:numId w:val="1"/>
        </w:numPr>
        <w:spacing w:after="240" w:line="240" w:lineRule="auto"/>
        <w:ind w:hanging="720"/>
        <w:jc w:val="both"/>
        <w:rPr>
          <w:rFonts w:ascii="Times New Roman" w:eastAsia="Times New Roman" w:hAnsi="Times New Roman" w:cs="Times New Roman"/>
          <w:color w:val="000000"/>
          <w:sz w:val="24"/>
          <w:szCs w:val="24"/>
        </w:rPr>
      </w:pPr>
      <w:r w:rsidRPr="006B178B">
        <w:rPr>
          <w:rFonts w:ascii="Times New Roman" w:eastAsia="Times New Roman" w:hAnsi="Times New Roman" w:cs="Times New Roman"/>
          <w:color w:val="000000"/>
          <w:sz w:val="24"/>
          <w:szCs w:val="24"/>
        </w:rPr>
        <w:t>As such the decision is also flawed in respect of much of the reasoning that is set out.  In particular, there is an overall failure to indicate whether discrimination is direct, or based on the adverse impact of a neutral policy, and the test in </w:t>
      </w:r>
      <w:proofErr w:type="spellStart"/>
      <w:r w:rsidRPr="006B178B">
        <w:rPr>
          <w:rFonts w:ascii="Times New Roman" w:eastAsia="Times New Roman" w:hAnsi="Times New Roman" w:cs="Times New Roman"/>
          <w:i/>
          <w:iCs/>
          <w:color w:val="000000"/>
          <w:sz w:val="24"/>
          <w:szCs w:val="24"/>
        </w:rPr>
        <w:t>Meiorin</w:t>
      </w:r>
      <w:proofErr w:type="spellEnd"/>
      <w:r w:rsidRPr="006B178B">
        <w:rPr>
          <w:rFonts w:ascii="Times New Roman" w:eastAsia="Times New Roman" w:hAnsi="Times New Roman" w:cs="Times New Roman"/>
          <w:color w:val="000000"/>
          <w:sz w:val="24"/>
          <w:szCs w:val="24"/>
        </w:rPr>
        <w:t xml:space="preserve"> is not properly considered and applied. There is also a common failure to tie the alleged discrimination or discriminatory </w:t>
      </w:r>
      <w:r w:rsidRPr="006B178B">
        <w:rPr>
          <w:rFonts w:ascii="Times New Roman" w:eastAsia="Times New Roman" w:hAnsi="Times New Roman" w:cs="Times New Roman"/>
          <w:color w:val="000000"/>
          <w:sz w:val="24"/>
          <w:szCs w:val="24"/>
        </w:rPr>
        <w:lastRenderedPageBreak/>
        <w:t>impact to a prohibited ground of discrimination. The burden of tying to a prohibited ground was placed entirely on the applicant.</w:t>
      </w:r>
      <w:r w:rsidRPr="006B178B">
        <w:rPr>
          <w:rStyle w:val="FootnoteReference"/>
          <w:rFonts w:ascii="Times New Roman" w:eastAsia="Times New Roman" w:hAnsi="Times New Roman" w:cs="Times New Roman"/>
          <w:color w:val="000000"/>
          <w:sz w:val="24"/>
          <w:szCs w:val="24"/>
        </w:rPr>
        <w:footnoteReference w:id="57"/>
      </w:r>
    </w:p>
    <w:p w:rsidR="0038639C" w:rsidRPr="006B178B" w:rsidRDefault="0038639C" w:rsidP="000A4E91">
      <w:pPr>
        <w:pStyle w:val="ListParagraph"/>
        <w:ind w:hanging="720"/>
        <w:rPr>
          <w:rFonts w:ascii="Times New Roman" w:eastAsia="Times New Roman" w:hAnsi="Times New Roman" w:cs="Times New Roman"/>
          <w:color w:val="000000"/>
          <w:sz w:val="24"/>
          <w:szCs w:val="24"/>
        </w:rPr>
      </w:pPr>
    </w:p>
    <w:p w:rsidR="00CD14D0" w:rsidRPr="006B178B" w:rsidRDefault="00CD14D0" w:rsidP="000A4E91">
      <w:pPr>
        <w:pStyle w:val="ListParagraph"/>
        <w:numPr>
          <w:ilvl w:val="0"/>
          <w:numId w:val="1"/>
        </w:numPr>
        <w:spacing w:after="240" w:line="240" w:lineRule="auto"/>
        <w:ind w:hanging="720"/>
        <w:jc w:val="both"/>
        <w:rPr>
          <w:rFonts w:ascii="Times New Roman" w:hAnsi="Times New Roman" w:cs="Times New Roman"/>
          <w:b/>
          <w:sz w:val="24"/>
          <w:szCs w:val="24"/>
          <w:u w:val="single"/>
        </w:rPr>
      </w:pPr>
      <w:r w:rsidRPr="006B178B">
        <w:rPr>
          <w:rFonts w:ascii="Times New Roman" w:eastAsia="Times New Roman" w:hAnsi="Times New Roman" w:cs="Times New Roman"/>
          <w:color w:val="000000"/>
          <w:sz w:val="24"/>
          <w:szCs w:val="24"/>
        </w:rPr>
        <w:t>It is necessary to look at these various issues cumulatively.  If taken separately, some might not reach the level of patent unreasonableness required to justify setting aside the entire decision.  However, considered cumulatively, the decision as a whole is fatally flawed and can only be described as patently unreasonable.  In these circumstances, a divisional court would set the decision aside and remit the case to the</w:t>
      </w:r>
      <w:r w:rsidR="006B178B">
        <w:rPr>
          <w:rFonts w:ascii="Times New Roman" w:eastAsia="Times New Roman" w:hAnsi="Times New Roman" w:cs="Times New Roman"/>
          <w:color w:val="000000"/>
          <w:sz w:val="24"/>
          <w:szCs w:val="24"/>
        </w:rPr>
        <w:t xml:space="preserve"> Tribunal </w:t>
      </w:r>
      <w:r w:rsidRPr="006B178B">
        <w:rPr>
          <w:rFonts w:ascii="Times New Roman" w:eastAsia="Times New Roman" w:hAnsi="Times New Roman" w:cs="Times New Roman"/>
          <w:color w:val="000000"/>
          <w:sz w:val="24"/>
          <w:szCs w:val="24"/>
        </w:rPr>
        <w:t>for a new hearing before a different adjudicator.</w:t>
      </w:r>
      <w:r w:rsidR="0038639C" w:rsidRPr="006B178B">
        <w:rPr>
          <w:rStyle w:val="FootnoteReference"/>
          <w:rFonts w:ascii="Times New Roman" w:eastAsia="Times New Roman" w:hAnsi="Times New Roman" w:cs="Times New Roman"/>
          <w:color w:val="000000"/>
          <w:sz w:val="24"/>
          <w:szCs w:val="24"/>
        </w:rPr>
        <w:footnoteReference w:id="58"/>
      </w:r>
    </w:p>
    <w:p w:rsidR="00E42EEF" w:rsidRPr="006B178B" w:rsidRDefault="00E42EEF" w:rsidP="000A4E91">
      <w:pPr>
        <w:pStyle w:val="ListParagraph"/>
        <w:ind w:hanging="720"/>
        <w:rPr>
          <w:rFonts w:ascii="Times New Roman" w:hAnsi="Times New Roman" w:cs="Times New Roman"/>
          <w:b/>
          <w:sz w:val="24"/>
          <w:szCs w:val="24"/>
          <w:u w:val="single"/>
        </w:rPr>
      </w:pPr>
    </w:p>
    <w:p w:rsidR="00E42EEF" w:rsidRPr="006B178B" w:rsidRDefault="0062131B" w:rsidP="000A4E91">
      <w:pPr>
        <w:pStyle w:val="ListParagraph"/>
        <w:numPr>
          <w:ilvl w:val="0"/>
          <w:numId w:val="1"/>
        </w:numPr>
        <w:ind w:hanging="720"/>
        <w:rPr>
          <w:rFonts w:ascii="Times New Roman" w:hAnsi="Times New Roman" w:cs="Times New Roman"/>
          <w:b/>
          <w:sz w:val="24"/>
          <w:szCs w:val="24"/>
          <w:u w:val="single"/>
        </w:rPr>
      </w:pPr>
      <w:r w:rsidRPr="006B178B">
        <w:rPr>
          <w:rFonts w:ascii="Times New Roman" w:hAnsi="Times New Roman" w:cs="Times New Roman"/>
          <w:sz w:val="24"/>
          <w:szCs w:val="24"/>
        </w:rPr>
        <w:t>The VC’s decision failed to take into account the discrimination of Jack’s protected grounds of race, ancestry when the instructor at the Provincial Police Academy (PPA) addressed the whole cla</w:t>
      </w:r>
      <w:r w:rsidR="00D94F2B" w:rsidRPr="006B178B">
        <w:rPr>
          <w:rFonts w:ascii="Times New Roman" w:hAnsi="Times New Roman" w:cs="Times New Roman"/>
          <w:sz w:val="24"/>
          <w:szCs w:val="24"/>
        </w:rPr>
        <w:t xml:space="preserve">ss about the applicant’s accent. </w:t>
      </w:r>
      <w:r w:rsidRPr="006B178B">
        <w:rPr>
          <w:rFonts w:ascii="Times New Roman" w:hAnsi="Times New Roman" w:cs="Times New Roman"/>
          <w:sz w:val="24"/>
          <w:szCs w:val="24"/>
        </w:rPr>
        <w:t xml:space="preserve">This address was humiliating and was compounded when, at the detachment, references about understanding him due to his thick accent were even made in his formal </w:t>
      </w:r>
      <w:proofErr w:type="spellStart"/>
      <w:r w:rsidRPr="006B178B">
        <w:rPr>
          <w:rFonts w:ascii="Times New Roman" w:hAnsi="Times New Roman" w:cs="Times New Roman"/>
          <w:sz w:val="24"/>
          <w:szCs w:val="24"/>
        </w:rPr>
        <w:t>PERs.</w:t>
      </w:r>
      <w:proofErr w:type="spellEnd"/>
      <w:r w:rsidRPr="006B178B">
        <w:rPr>
          <w:rStyle w:val="FootnoteReference"/>
          <w:rFonts w:ascii="Times New Roman" w:hAnsi="Times New Roman" w:cs="Times New Roman"/>
          <w:sz w:val="24"/>
          <w:szCs w:val="24"/>
        </w:rPr>
        <w:footnoteReference w:id="59"/>
      </w:r>
    </w:p>
    <w:p w:rsidR="00E42EEF" w:rsidRPr="006B178B" w:rsidRDefault="00E42EEF" w:rsidP="000A4E91">
      <w:pPr>
        <w:pStyle w:val="ListParagraph"/>
        <w:ind w:hanging="720"/>
        <w:rPr>
          <w:rFonts w:ascii="Times New Roman" w:hAnsi="Times New Roman" w:cs="Times New Roman"/>
          <w:b/>
          <w:sz w:val="24"/>
          <w:szCs w:val="24"/>
          <w:u w:val="single"/>
        </w:rPr>
      </w:pPr>
    </w:p>
    <w:p w:rsidR="007A4D8F" w:rsidRPr="006B178B" w:rsidRDefault="0062131B" w:rsidP="000A4E91">
      <w:pPr>
        <w:pStyle w:val="ListParagraph"/>
        <w:numPr>
          <w:ilvl w:val="0"/>
          <w:numId w:val="1"/>
        </w:numPr>
        <w:ind w:hanging="720"/>
        <w:rPr>
          <w:rFonts w:ascii="Times New Roman" w:hAnsi="Times New Roman" w:cs="Times New Roman"/>
          <w:b/>
          <w:sz w:val="24"/>
          <w:szCs w:val="24"/>
          <w:u w:val="single"/>
        </w:rPr>
      </w:pPr>
      <w:r w:rsidRPr="006B178B">
        <w:rPr>
          <w:rFonts w:ascii="Times New Roman" w:hAnsi="Times New Roman" w:cs="Times New Roman"/>
          <w:sz w:val="24"/>
          <w:szCs w:val="24"/>
        </w:rPr>
        <w:t>With respect to paragraph 70 of the VC’s decision it is evident that the VC did not bother to look at and read the applicant’s ‘reply to the respondent’s closing submissions’. In that reply the applicant identifies that Brockley perjured himself on the witness stand when he said that the 13 phone calls was another factor in prompting the internal investigation by the Professional Standards Bureau (PSB). However, as testimony revealed those 13 phone calls were only realized by Brockley on January 13, 2013. How can something that was only discovered in 2013 be foreseen and revealed in a hearing dealing with a time frame of August 2008 to December 2009?</w:t>
      </w:r>
      <w:r w:rsidRPr="006B178B">
        <w:rPr>
          <w:rStyle w:val="FootnoteReference"/>
          <w:rFonts w:ascii="Times New Roman" w:hAnsi="Times New Roman" w:cs="Times New Roman"/>
          <w:sz w:val="24"/>
          <w:szCs w:val="24"/>
        </w:rPr>
        <w:footnoteReference w:id="60"/>
      </w:r>
    </w:p>
    <w:p w:rsidR="007A4D8F" w:rsidRPr="006B178B" w:rsidRDefault="007A4D8F" w:rsidP="000A4E91">
      <w:pPr>
        <w:pStyle w:val="ListParagraph"/>
        <w:ind w:hanging="720"/>
        <w:rPr>
          <w:rFonts w:ascii="Times New Roman" w:hAnsi="Times New Roman" w:cs="Times New Roman"/>
          <w:sz w:val="24"/>
          <w:szCs w:val="24"/>
        </w:rPr>
      </w:pPr>
    </w:p>
    <w:p w:rsidR="0062131B" w:rsidRPr="006B178B" w:rsidRDefault="007A4D8F" w:rsidP="000A4E91">
      <w:pPr>
        <w:pStyle w:val="ListParagraph"/>
        <w:numPr>
          <w:ilvl w:val="0"/>
          <w:numId w:val="1"/>
        </w:numPr>
        <w:ind w:hanging="720"/>
        <w:rPr>
          <w:rFonts w:ascii="Times New Roman" w:hAnsi="Times New Roman" w:cs="Times New Roman"/>
          <w:sz w:val="24"/>
          <w:szCs w:val="24"/>
        </w:rPr>
      </w:pPr>
      <w:r w:rsidRPr="006B178B">
        <w:rPr>
          <w:rFonts w:ascii="Times New Roman" w:hAnsi="Times New Roman" w:cs="Times New Roman"/>
          <w:sz w:val="24"/>
          <w:szCs w:val="24"/>
        </w:rPr>
        <w:t>With respect to paragraph 61 of the VC’s decision</w:t>
      </w:r>
      <w:r w:rsidR="00E51CCB" w:rsidRPr="006B178B">
        <w:rPr>
          <w:rFonts w:ascii="Times New Roman" w:hAnsi="Times New Roman" w:cs="Times New Roman"/>
          <w:sz w:val="24"/>
          <w:szCs w:val="24"/>
        </w:rPr>
        <w:t>,</w:t>
      </w:r>
      <w:r w:rsidRPr="006B178B">
        <w:rPr>
          <w:rFonts w:ascii="Times New Roman" w:hAnsi="Times New Roman" w:cs="Times New Roman"/>
          <w:sz w:val="24"/>
          <w:szCs w:val="24"/>
        </w:rPr>
        <w:t xml:space="preserve"> it is next to impossible to dismiss the fact that many entries in the applicant’s PERs were fabricated and or did not make much sense.</w:t>
      </w:r>
      <w:r w:rsidRPr="006B178B">
        <w:rPr>
          <w:rStyle w:val="FootnoteReference"/>
          <w:rFonts w:ascii="Times New Roman" w:hAnsi="Times New Roman" w:cs="Times New Roman"/>
          <w:sz w:val="24"/>
          <w:szCs w:val="24"/>
        </w:rPr>
        <w:footnoteReference w:id="61"/>
      </w:r>
      <w:r w:rsidRPr="006B178B">
        <w:rPr>
          <w:rFonts w:ascii="Times New Roman" w:hAnsi="Times New Roman" w:cs="Times New Roman"/>
          <w:sz w:val="24"/>
          <w:szCs w:val="24"/>
        </w:rPr>
        <w:t xml:space="preserve"> During the course of the hearing when </w:t>
      </w:r>
      <w:r w:rsidR="00E51CCB" w:rsidRPr="006B178B">
        <w:rPr>
          <w:rFonts w:ascii="Times New Roman" w:hAnsi="Times New Roman" w:cs="Times New Roman"/>
          <w:sz w:val="24"/>
          <w:szCs w:val="24"/>
        </w:rPr>
        <w:t xml:space="preserve">the </w:t>
      </w:r>
      <w:r w:rsidRPr="006B178B">
        <w:rPr>
          <w:rFonts w:ascii="Times New Roman" w:hAnsi="Times New Roman" w:cs="Times New Roman"/>
          <w:sz w:val="24"/>
          <w:szCs w:val="24"/>
        </w:rPr>
        <w:t>applicant’s PERs were closely examined and picked apart the VC himself on a number of occasions stated, ‘</w:t>
      </w:r>
      <w:r w:rsidRPr="006B178B">
        <w:rPr>
          <w:rFonts w:ascii="Times New Roman" w:hAnsi="Times New Roman" w:cs="Times New Roman"/>
          <w:i/>
          <w:iCs/>
          <w:sz w:val="24"/>
          <w:szCs w:val="24"/>
        </w:rPr>
        <w:t>What is this doing here?</w:t>
      </w:r>
      <w:r w:rsidRPr="006B178B">
        <w:rPr>
          <w:rFonts w:ascii="Times New Roman" w:hAnsi="Times New Roman" w:cs="Times New Roman"/>
          <w:sz w:val="24"/>
          <w:szCs w:val="24"/>
        </w:rPr>
        <w:t>’ and also highlighted certain portions of the PERs for later reference.</w:t>
      </w:r>
      <w:r w:rsidR="00EE58D0" w:rsidRPr="006B178B">
        <w:rPr>
          <w:rStyle w:val="FootnoteReference"/>
          <w:rFonts w:ascii="Times New Roman" w:hAnsi="Times New Roman" w:cs="Times New Roman"/>
          <w:sz w:val="24"/>
          <w:szCs w:val="24"/>
        </w:rPr>
        <w:footnoteReference w:id="62"/>
      </w:r>
      <w:r w:rsidRPr="006B178B">
        <w:rPr>
          <w:rFonts w:ascii="Times New Roman" w:hAnsi="Times New Roman" w:cs="Times New Roman"/>
          <w:sz w:val="24"/>
          <w:szCs w:val="24"/>
        </w:rPr>
        <w:t xml:space="preserve"> </w:t>
      </w:r>
    </w:p>
    <w:p w:rsidR="0062131B" w:rsidRPr="006B178B" w:rsidRDefault="0062131B" w:rsidP="000A4E91">
      <w:pPr>
        <w:pStyle w:val="ListParagraph"/>
        <w:ind w:hanging="720"/>
        <w:rPr>
          <w:rFonts w:ascii="Times New Roman" w:hAnsi="Times New Roman" w:cs="Times New Roman"/>
          <w:sz w:val="24"/>
          <w:szCs w:val="24"/>
        </w:rPr>
      </w:pPr>
    </w:p>
    <w:p w:rsidR="00CD729E" w:rsidRPr="006B178B" w:rsidRDefault="0062131B" w:rsidP="000A4E91">
      <w:pPr>
        <w:pStyle w:val="ListParagraph"/>
        <w:numPr>
          <w:ilvl w:val="0"/>
          <w:numId w:val="1"/>
        </w:numPr>
        <w:ind w:hanging="720"/>
        <w:rPr>
          <w:rFonts w:ascii="Times New Roman" w:hAnsi="Times New Roman" w:cs="Times New Roman"/>
          <w:sz w:val="24"/>
          <w:szCs w:val="24"/>
        </w:rPr>
      </w:pPr>
      <w:r w:rsidRPr="006B178B">
        <w:rPr>
          <w:rFonts w:ascii="Times New Roman" w:hAnsi="Times New Roman" w:cs="Times New Roman"/>
          <w:sz w:val="24"/>
          <w:szCs w:val="24"/>
        </w:rPr>
        <w:t xml:space="preserve">In paragraph 62 </w:t>
      </w:r>
      <w:r w:rsidR="0040787F" w:rsidRPr="006B178B">
        <w:rPr>
          <w:rFonts w:ascii="Times New Roman" w:hAnsi="Times New Roman" w:cs="Times New Roman"/>
          <w:sz w:val="24"/>
          <w:szCs w:val="24"/>
        </w:rPr>
        <w:t xml:space="preserve">of the decision </w:t>
      </w:r>
      <w:r w:rsidRPr="006B178B">
        <w:rPr>
          <w:rFonts w:ascii="Times New Roman" w:hAnsi="Times New Roman" w:cs="Times New Roman"/>
          <w:sz w:val="24"/>
          <w:szCs w:val="24"/>
        </w:rPr>
        <w:t>the VC casually states that ‘</w:t>
      </w:r>
      <w:r w:rsidRPr="006B178B">
        <w:rPr>
          <w:rFonts w:ascii="Times New Roman" w:hAnsi="Times New Roman" w:cs="Times New Roman"/>
          <w:i/>
          <w:iCs/>
          <w:sz w:val="24"/>
          <w:szCs w:val="24"/>
        </w:rPr>
        <w:t>Perhaps he did not deserve the negative rat</w:t>
      </w:r>
      <w:r w:rsidR="00EE58D0" w:rsidRPr="006B178B">
        <w:rPr>
          <w:rFonts w:ascii="Times New Roman" w:hAnsi="Times New Roman" w:cs="Times New Roman"/>
          <w:i/>
          <w:iCs/>
          <w:sz w:val="24"/>
          <w:szCs w:val="24"/>
        </w:rPr>
        <w:t xml:space="preserve">ings. Clearly the applicant sees it that way. </w:t>
      </w:r>
      <w:r w:rsidRPr="006B178B">
        <w:rPr>
          <w:rFonts w:ascii="Times New Roman" w:hAnsi="Times New Roman" w:cs="Times New Roman"/>
          <w:i/>
          <w:iCs/>
          <w:sz w:val="24"/>
          <w:szCs w:val="24"/>
        </w:rPr>
        <w:t>However, for there to be a finding of Code-related discrimination there must be a link between these negative performance reviews and the ground(s) of discrimination the applicant has pled. The applicant has not provided any evidence that would demonstrate that link’</w:t>
      </w:r>
      <w:r w:rsidRPr="006B178B">
        <w:rPr>
          <w:rFonts w:ascii="Times New Roman" w:hAnsi="Times New Roman" w:cs="Times New Roman"/>
          <w:sz w:val="24"/>
          <w:szCs w:val="24"/>
        </w:rPr>
        <w:t xml:space="preserve">. </w:t>
      </w:r>
    </w:p>
    <w:p w:rsidR="00CD729E" w:rsidRPr="006B178B" w:rsidRDefault="00CD729E" w:rsidP="000A4E91">
      <w:pPr>
        <w:pStyle w:val="ListParagraph"/>
        <w:ind w:hanging="720"/>
        <w:rPr>
          <w:rFonts w:ascii="Times New Roman" w:hAnsi="Times New Roman" w:cs="Times New Roman"/>
          <w:sz w:val="24"/>
          <w:szCs w:val="24"/>
        </w:rPr>
      </w:pPr>
    </w:p>
    <w:p w:rsidR="00DB55D4" w:rsidRPr="006B178B" w:rsidRDefault="00CD729E" w:rsidP="000A4E91">
      <w:pPr>
        <w:pStyle w:val="ListParagraph"/>
        <w:numPr>
          <w:ilvl w:val="0"/>
          <w:numId w:val="1"/>
        </w:numPr>
        <w:ind w:hanging="720"/>
        <w:rPr>
          <w:rFonts w:ascii="Times New Roman" w:hAnsi="Times New Roman" w:cs="Times New Roman"/>
          <w:sz w:val="24"/>
          <w:szCs w:val="24"/>
        </w:rPr>
      </w:pPr>
      <w:r w:rsidRPr="006B178B">
        <w:rPr>
          <w:rFonts w:ascii="Times New Roman" w:hAnsi="Times New Roman" w:cs="Times New Roman"/>
          <w:sz w:val="24"/>
          <w:szCs w:val="24"/>
        </w:rPr>
        <w:lastRenderedPageBreak/>
        <w:t xml:space="preserve">What stronger evidence could one possibly have than the derogatory nickname ‘Crazy Ivan’? The VC focused on the applicant becoming aware of it several months after his termination of employment. However, </w:t>
      </w:r>
      <w:r w:rsidR="00DB55D4" w:rsidRPr="006B178B">
        <w:rPr>
          <w:rFonts w:ascii="Times New Roman" w:hAnsi="Times New Roman" w:cs="Times New Roman"/>
          <w:sz w:val="24"/>
          <w:szCs w:val="24"/>
        </w:rPr>
        <w:t xml:space="preserve">the VC totally missed or totally overlooked the fact that in acknowledging that the applicant only became aware of it several months after his termination you are also acknowledging it was being used behind the applicant’s back and that colleagues he worked with were referencing him by that derogatory nick name. </w:t>
      </w:r>
    </w:p>
    <w:p w:rsidR="00DB55D4" w:rsidRPr="006B178B" w:rsidRDefault="00DB55D4" w:rsidP="000A4E91">
      <w:pPr>
        <w:pStyle w:val="ListParagraph"/>
        <w:ind w:hanging="720"/>
        <w:rPr>
          <w:rFonts w:ascii="Times New Roman" w:hAnsi="Times New Roman" w:cs="Times New Roman"/>
          <w:sz w:val="24"/>
          <w:szCs w:val="24"/>
        </w:rPr>
      </w:pPr>
    </w:p>
    <w:p w:rsidR="00DB55D4" w:rsidRPr="006B178B" w:rsidRDefault="00DB55D4" w:rsidP="000A4E91">
      <w:pPr>
        <w:pStyle w:val="ListParagraph"/>
        <w:numPr>
          <w:ilvl w:val="0"/>
          <w:numId w:val="1"/>
        </w:numPr>
        <w:ind w:hanging="720"/>
        <w:rPr>
          <w:rFonts w:ascii="Times New Roman" w:hAnsi="Times New Roman" w:cs="Times New Roman"/>
          <w:sz w:val="24"/>
          <w:szCs w:val="24"/>
        </w:rPr>
      </w:pPr>
      <w:r w:rsidRPr="006B178B">
        <w:rPr>
          <w:rFonts w:ascii="Times New Roman" w:hAnsi="Times New Roman" w:cs="Times New Roman"/>
          <w:sz w:val="24"/>
          <w:szCs w:val="24"/>
        </w:rPr>
        <w:t xml:space="preserve">What stronger evidence could the applicant possibly have outside of Greco’s testimony? </w:t>
      </w:r>
    </w:p>
    <w:p w:rsidR="00DB55D4" w:rsidRPr="006B178B" w:rsidRDefault="00DB55D4" w:rsidP="000A4E91">
      <w:pPr>
        <w:pStyle w:val="ListParagraph"/>
        <w:ind w:hanging="720"/>
        <w:rPr>
          <w:rFonts w:ascii="Times New Roman" w:hAnsi="Times New Roman" w:cs="Times New Roman"/>
          <w:sz w:val="24"/>
          <w:szCs w:val="24"/>
        </w:rPr>
      </w:pPr>
    </w:p>
    <w:p w:rsidR="007A4D8F" w:rsidRPr="006B178B" w:rsidRDefault="00DB55D4" w:rsidP="000A4E91">
      <w:pPr>
        <w:pStyle w:val="ListParagraph"/>
        <w:numPr>
          <w:ilvl w:val="0"/>
          <w:numId w:val="1"/>
        </w:numPr>
        <w:ind w:hanging="720"/>
        <w:rPr>
          <w:rFonts w:ascii="Times New Roman" w:hAnsi="Times New Roman" w:cs="Times New Roman"/>
          <w:sz w:val="24"/>
          <w:szCs w:val="24"/>
        </w:rPr>
      </w:pPr>
      <w:r w:rsidRPr="006B178B">
        <w:rPr>
          <w:rFonts w:ascii="Times New Roman" w:hAnsi="Times New Roman" w:cs="Times New Roman"/>
          <w:sz w:val="24"/>
          <w:szCs w:val="24"/>
        </w:rPr>
        <w:t xml:space="preserve">What stronger evidence could the applicant possibly have that the </w:t>
      </w:r>
      <w:r w:rsidR="0062131B" w:rsidRPr="006B178B">
        <w:rPr>
          <w:rFonts w:ascii="Times New Roman" w:hAnsi="Times New Roman" w:cs="Times New Roman"/>
          <w:sz w:val="24"/>
          <w:szCs w:val="24"/>
        </w:rPr>
        <w:t xml:space="preserve">same people </w:t>
      </w:r>
      <w:r w:rsidR="00EE58D0" w:rsidRPr="006B178B">
        <w:rPr>
          <w:rFonts w:ascii="Times New Roman" w:hAnsi="Times New Roman" w:cs="Times New Roman"/>
          <w:sz w:val="24"/>
          <w:szCs w:val="24"/>
        </w:rPr>
        <w:t>who</w:t>
      </w:r>
      <w:r w:rsidR="0062131B" w:rsidRPr="006B178B">
        <w:rPr>
          <w:rFonts w:ascii="Times New Roman" w:hAnsi="Times New Roman" w:cs="Times New Roman"/>
          <w:sz w:val="24"/>
          <w:szCs w:val="24"/>
        </w:rPr>
        <w:t xml:space="preserve"> </w:t>
      </w:r>
      <w:r w:rsidR="00EE58D0" w:rsidRPr="006B178B">
        <w:rPr>
          <w:rFonts w:ascii="Times New Roman" w:hAnsi="Times New Roman" w:cs="Times New Roman"/>
          <w:sz w:val="24"/>
          <w:szCs w:val="24"/>
        </w:rPr>
        <w:t xml:space="preserve">fabricated </w:t>
      </w:r>
      <w:r w:rsidRPr="006B178B">
        <w:rPr>
          <w:rFonts w:ascii="Times New Roman" w:hAnsi="Times New Roman" w:cs="Times New Roman"/>
          <w:sz w:val="24"/>
          <w:szCs w:val="24"/>
        </w:rPr>
        <w:t xml:space="preserve">the </w:t>
      </w:r>
      <w:r w:rsidR="00EE58D0" w:rsidRPr="006B178B">
        <w:rPr>
          <w:rFonts w:ascii="Times New Roman" w:hAnsi="Times New Roman" w:cs="Times New Roman"/>
          <w:sz w:val="24"/>
          <w:szCs w:val="24"/>
        </w:rPr>
        <w:t xml:space="preserve">applicant’s PERs, </w:t>
      </w:r>
      <w:r w:rsidR="0062131B" w:rsidRPr="006B178B">
        <w:rPr>
          <w:rFonts w:ascii="Times New Roman" w:hAnsi="Times New Roman" w:cs="Times New Roman"/>
          <w:sz w:val="24"/>
          <w:szCs w:val="24"/>
        </w:rPr>
        <w:t xml:space="preserve">accused </w:t>
      </w:r>
      <w:r w:rsidRPr="006B178B">
        <w:rPr>
          <w:rFonts w:ascii="Times New Roman" w:hAnsi="Times New Roman" w:cs="Times New Roman"/>
          <w:sz w:val="24"/>
          <w:szCs w:val="24"/>
        </w:rPr>
        <w:t xml:space="preserve">him </w:t>
      </w:r>
      <w:r w:rsidR="0062131B" w:rsidRPr="006B178B">
        <w:rPr>
          <w:rFonts w:ascii="Times New Roman" w:hAnsi="Times New Roman" w:cs="Times New Roman"/>
          <w:sz w:val="24"/>
          <w:szCs w:val="24"/>
        </w:rPr>
        <w:t xml:space="preserve">of so many </w:t>
      </w:r>
      <w:r w:rsidR="00EE58D0" w:rsidRPr="006B178B">
        <w:rPr>
          <w:rFonts w:ascii="Times New Roman" w:hAnsi="Times New Roman" w:cs="Times New Roman"/>
          <w:sz w:val="24"/>
          <w:szCs w:val="24"/>
        </w:rPr>
        <w:t xml:space="preserve">wrongdoings </w:t>
      </w:r>
      <w:r w:rsidR="0062131B" w:rsidRPr="006B178B">
        <w:rPr>
          <w:rFonts w:ascii="Times New Roman" w:hAnsi="Times New Roman" w:cs="Times New Roman"/>
          <w:sz w:val="24"/>
          <w:szCs w:val="24"/>
        </w:rPr>
        <w:t xml:space="preserve">that turned out to be false </w:t>
      </w:r>
      <w:r w:rsidRPr="006B178B">
        <w:rPr>
          <w:rFonts w:ascii="Times New Roman" w:hAnsi="Times New Roman" w:cs="Times New Roman"/>
          <w:sz w:val="24"/>
          <w:szCs w:val="24"/>
        </w:rPr>
        <w:t>were the ones referencing him and viewing him a</w:t>
      </w:r>
      <w:r w:rsidR="0062131B" w:rsidRPr="006B178B">
        <w:rPr>
          <w:rFonts w:ascii="Times New Roman" w:hAnsi="Times New Roman" w:cs="Times New Roman"/>
          <w:sz w:val="24"/>
          <w:szCs w:val="24"/>
        </w:rPr>
        <w:t>s a Crazy Russian or a Dirty Jew</w:t>
      </w:r>
      <w:r w:rsidRPr="006B178B">
        <w:rPr>
          <w:rFonts w:ascii="Times New Roman" w:hAnsi="Times New Roman" w:cs="Times New Roman"/>
          <w:sz w:val="24"/>
          <w:szCs w:val="24"/>
        </w:rPr>
        <w:t xml:space="preserve"> with the use of the nick name ‘Crazy Ivan’</w:t>
      </w:r>
      <w:r w:rsidR="0062131B" w:rsidRPr="006B178B">
        <w:rPr>
          <w:rFonts w:ascii="Times New Roman" w:hAnsi="Times New Roman" w:cs="Times New Roman"/>
          <w:sz w:val="24"/>
          <w:szCs w:val="24"/>
        </w:rPr>
        <w:t>?</w:t>
      </w:r>
      <w:r w:rsidR="00EE58D0" w:rsidRPr="006B178B">
        <w:rPr>
          <w:rStyle w:val="FootnoteReference"/>
          <w:rFonts w:ascii="Times New Roman" w:hAnsi="Times New Roman" w:cs="Times New Roman"/>
          <w:sz w:val="24"/>
          <w:szCs w:val="24"/>
        </w:rPr>
        <w:footnoteReference w:id="63"/>
      </w:r>
      <w:r w:rsidR="0062131B" w:rsidRPr="006B178B">
        <w:rPr>
          <w:rFonts w:ascii="Times New Roman" w:hAnsi="Times New Roman" w:cs="Times New Roman"/>
          <w:sz w:val="24"/>
          <w:szCs w:val="24"/>
        </w:rPr>
        <w:t xml:space="preserve"> </w:t>
      </w:r>
    </w:p>
    <w:p w:rsidR="00DB55D4" w:rsidRPr="006B178B" w:rsidRDefault="00DB55D4" w:rsidP="000A4E91">
      <w:pPr>
        <w:pStyle w:val="ListParagraph"/>
        <w:ind w:hanging="720"/>
        <w:rPr>
          <w:rFonts w:ascii="Times New Roman" w:hAnsi="Times New Roman" w:cs="Times New Roman"/>
          <w:sz w:val="24"/>
          <w:szCs w:val="24"/>
        </w:rPr>
      </w:pPr>
    </w:p>
    <w:p w:rsidR="00DB55D4" w:rsidRPr="006B178B" w:rsidRDefault="00DB55D4" w:rsidP="000A4E91">
      <w:pPr>
        <w:pStyle w:val="ListParagraph"/>
        <w:numPr>
          <w:ilvl w:val="0"/>
          <w:numId w:val="1"/>
        </w:numPr>
        <w:ind w:hanging="720"/>
        <w:rPr>
          <w:rFonts w:ascii="Times New Roman" w:hAnsi="Times New Roman" w:cs="Times New Roman"/>
          <w:sz w:val="24"/>
          <w:szCs w:val="24"/>
        </w:rPr>
      </w:pPr>
      <w:r w:rsidRPr="006B178B">
        <w:rPr>
          <w:rFonts w:ascii="Times New Roman" w:hAnsi="Times New Roman" w:cs="Times New Roman"/>
          <w:sz w:val="24"/>
          <w:szCs w:val="24"/>
        </w:rPr>
        <w:t xml:space="preserve">The only remaining strong piece of evidence </w:t>
      </w:r>
      <w:r w:rsidR="00EF3B20" w:rsidRPr="006B178B">
        <w:rPr>
          <w:rFonts w:ascii="Times New Roman" w:hAnsi="Times New Roman" w:cs="Times New Roman"/>
          <w:sz w:val="24"/>
          <w:szCs w:val="24"/>
        </w:rPr>
        <w:t>is what is referenced in the applicant’s closing submission, exhibit 99. However, as previously stated it wasn’t taken into account and it was totally overlooked by the VC.</w:t>
      </w:r>
    </w:p>
    <w:p w:rsidR="00EF3B20" w:rsidRPr="006B178B" w:rsidRDefault="00EF3B20" w:rsidP="000A4E91">
      <w:pPr>
        <w:pStyle w:val="ListParagraph"/>
        <w:ind w:hanging="720"/>
        <w:rPr>
          <w:rFonts w:ascii="Times New Roman" w:hAnsi="Times New Roman" w:cs="Times New Roman"/>
          <w:sz w:val="24"/>
          <w:szCs w:val="24"/>
        </w:rPr>
      </w:pPr>
    </w:p>
    <w:p w:rsidR="00EF3B20" w:rsidRPr="006B178B" w:rsidRDefault="00EF3B20" w:rsidP="000A4E91">
      <w:pPr>
        <w:pStyle w:val="ListParagraph"/>
        <w:numPr>
          <w:ilvl w:val="0"/>
          <w:numId w:val="1"/>
        </w:numPr>
        <w:ind w:hanging="720"/>
        <w:rPr>
          <w:rFonts w:ascii="Times New Roman" w:hAnsi="Times New Roman" w:cs="Times New Roman"/>
          <w:sz w:val="24"/>
          <w:szCs w:val="24"/>
        </w:rPr>
      </w:pPr>
      <w:r w:rsidRPr="006B178B">
        <w:rPr>
          <w:rFonts w:ascii="Times New Roman" w:hAnsi="Times New Roman" w:cs="Times New Roman"/>
          <w:sz w:val="24"/>
          <w:szCs w:val="24"/>
        </w:rPr>
        <w:t>What stronger evidence could the applicant possibly have than the consistent denial by all the police witnesses including the ones the applicant was forced to call, that they never referenced the applicant by that nickname.</w:t>
      </w:r>
    </w:p>
    <w:p w:rsidR="00EF3B20" w:rsidRPr="006B178B" w:rsidRDefault="00EF3B20" w:rsidP="000A4E91">
      <w:pPr>
        <w:pStyle w:val="ListParagraph"/>
        <w:ind w:hanging="720"/>
        <w:rPr>
          <w:rFonts w:ascii="Times New Roman" w:hAnsi="Times New Roman" w:cs="Times New Roman"/>
          <w:sz w:val="24"/>
          <w:szCs w:val="24"/>
        </w:rPr>
      </w:pPr>
    </w:p>
    <w:p w:rsidR="00EF3B20" w:rsidRPr="006B178B" w:rsidRDefault="00EF3B20" w:rsidP="000A4E91">
      <w:pPr>
        <w:pStyle w:val="ListParagraph"/>
        <w:numPr>
          <w:ilvl w:val="0"/>
          <w:numId w:val="1"/>
        </w:numPr>
        <w:ind w:hanging="720"/>
        <w:rPr>
          <w:rFonts w:ascii="Times New Roman" w:hAnsi="Times New Roman" w:cs="Times New Roman"/>
          <w:i/>
          <w:sz w:val="24"/>
          <w:szCs w:val="24"/>
        </w:rPr>
      </w:pPr>
      <w:r w:rsidRPr="006B178B">
        <w:rPr>
          <w:rFonts w:ascii="Times New Roman" w:hAnsi="Times New Roman" w:cs="Times New Roman"/>
          <w:sz w:val="24"/>
          <w:szCs w:val="24"/>
        </w:rPr>
        <w:t>The strongest inference could be drawn by their denials – it was easier to deny its use than to admit using such a derogatory nickname and then open oneself up to a possibly prosecution of ‘discreditable conduct</w:t>
      </w:r>
      <w:r w:rsidR="004A3617" w:rsidRPr="006B178B">
        <w:rPr>
          <w:rFonts w:ascii="Times New Roman" w:hAnsi="Times New Roman" w:cs="Times New Roman"/>
          <w:sz w:val="24"/>
          <w:szCs w:val="24"/>
        </w:rPr>
        <w:t xml:space="preserve">’ </w:t>
      </w:r>
      <w:r w:rsidRPr="006B178B">
        <w:rPr>
          <w:rFonts w:ascii="Times New Roman" w:hAnsi="Times New Roman" w:cs="Times New Roman"/>
          <w:sz w:val="24"/>
          <w:szCs w:val="24"/>
        </w:rPr>
        <w:t xml:space="preserve">under the </w:t>
      </w:r>
      <w:r w:rsidRPr="006B178B">
        <w:rPr>
          <w:rFonts w:ascii="Times New Roman" w:hAnsi="Times New Roman" w:cs="Times New Roman"/>
          <w:i/>
          <w:sz w:val="24"/>
          <w:szCs w:val="24"/>
        </w:rPr>
        <w:t xml:space="preserve">Police Services Act (PSA). </w:t>
      </w:r>
    </w:p>
    <w:p w:rsidR="00EF3B20" w:rsidRPr="006B178B" w:rsidRDefault="00EF3B20" w:rsidP="000A4E91">
      <w:pPr>
        <w:pStyle w:val="ListParagraph"/>
        <w:ind w:hanging="720"/>
        <w:rPr>
          <w:rFonts w:ascii="Times New Roman" w:hAnsi="Times New Roman" w:cs="Times New Roman"/>
          <w:i/>
          <w:sz w:val="24"/>
          <w:szCs w:val="24"/>
        </w:rPr>
      </w:pPr>
    </w:p>
    <w:p w:rsidR="00EF3B20" w:rsidRPr="006B178B" w:rsidRDefault="004A3617" w:rsidP="000A4E91">
      <w:pPr>
        <w:pStyle w:val="ListParagraph"/>
        <w:numPr>
          <w:ilvl w:val="0"/>
          <w:numId w:val="1"/>
        </w:numPr>
        <w:ind w:hanging="720"/>
        <w:rPr>
          <w:rFonts w:ascii="Times New Roman" w:hAnsi="Times New Roman" w:cs="Times New Roman"/>
          <w:i/>
          <w:sz w:val="24"/>
          <w:szCs w:val="24"/>
        </w:rPr>
      </w:pPr>
      <w:r w:rsidRPr="006B178B">
        <w:rPr>
          <w:rFonts w:ascii="Times New Roman" w:hAnsi="Times New Roman" w:cs="Times New Roman"/>
          <w:sz w:val="24"/>
          <w:szCs w:val="24"/>
        </w:rPr>
        <w:t xml:space="preserve">Lastly, just because the applicant did not know at the time that he had a derogatory nickname does not make it any less of an offence. The offence is made out the moment one uses it to reference the one and only person it applied to. </w:t>
      </w:r>
      <w:r w:rsidR="00871AD5" w:rsidRPr="006B178B">
        <w:rPr>
          <w:rFonts w:ascii="Times New Roman" w:hAnsi="Times New Roman" w:cs="Times New Roman"/>
          <w:sz w:val="24"/>
          <w:szCs w:val="24"/>
        </w:rPr>
        <w:t xml:space="preserve">The constant use of such a term </w:t>
      </w:r>
      <w:r w:rsidR="0040787F" w:rsidRPr="006B178B">
        <w:rPr>
          <w:rFonts w:ascii="Times New Roman" w:hAnsi="Times New Roman" w:cs="Times New Roman"/>
          <w:sz w:val="24"/>
          <w:szCs w:val="24"/>
        </w:rPr>
        <w:t xml:space="preserve">made it possible </w:t>
      </w:r>
      <w:r w:rsidR="00871AD5" w:rsidRPr="006B178B">
        <w:rPr>
          <w:rFonts w:ascii="Times New Roman" w:hAnsi="Times New Roman" w:cs="Times New Roman"/>
          <w:sz w:val="24"/>
          <w:szCs w:val="24"/>
        </w:rPr>
        <w:t xml:space="preserve">for almost everyone at that detachment to unite under one understanding, “Jack is a crazy </w:t>
      </w:r>
      <w:r w:rsidR="0040787F" w:rsidRPr="006B178B">
        <w:rPr>
          <w:rFonts w:ascii="Times New Roman" w:hAnsi="Times New Roman" w:cs="Times New Roman"/>
          <w:sz w:val="24"/>
          <w:szCs w:val="24"/>
        </w:rPr>
        <w:t>Russian</w:t>
      </w:r>
      <w:r w:rsidR="00871AD5" w:rsidRPr="006B178B">
        <w:rPr>
          <w:rFonts w:ascii="Times New Roman" w:hAnsi="Times New Roman" w:cs="Times New Roman"/>
          <w:sz w:val="24"/>
          <w:szCs w:val="24"/>
        </w:rPr>
        <w:t>, not well liked, he may be dangerous</w:t>
      </w:r>
      <w:r w:rsidR="0040787F" w:rsidRPr="006B178B">
        <w:rPr>
          <w:rFonts w:ascii="Times New Roman" w:hAnsi="Times New Roman" w:cs="Times New Roman"/>
          <w:sz w:val="24"/>
          <w:szCs w:val="24"/>
        </w:rPr>
        <w:t>” (after all he has shot and killed many people during his time in the Israeli Army) all of which poisoned his work environment and made it perfectly normal for others to violate his Code protected rights.</w:t>
      </w:r>
      <w:r w:rsidRPr="006B178B">
        <w:rPr>
          <w:rStyle w:val="FootnoteReference"/>
          <w:rFonts w:ascii="Times New Roman" w:hAnsi="Times New Roman" w:cs="Times New Roman"/>
          <w:sz w:val="24"/>
          <w:szCs w:val="24"/>
        </w:rPr>
        <w:footnoteReference w:id="64"/>
      </w:r>
    </w:p>
    <w:p w:rsidR="004A3617" w:rsidRPr="006B178B" w:rsidRDefault="004A3617" w:rsidP="000A4E91">
      <w:pPr>
        <w:pStyle w:val="ListParagraph"/>
        <w:ind w:hanging="720"/>
        <w:rPr>
          <w:rFonts w:ascii="Times New Roman" w:hAnsi="Times New Roman" w:cs="Times New Roman"/>
          <w:i/>
          <w:sz w:val="24"/>
          <w:szCs w:val="24"/>
        </w:rPr>
      </w:pPr>
    </w:p>
    <w:p w:rsidR="004A3617" w:rsidRPr="006B178B" w:rsidRDefault="0069336E" w:rsidP="000A4E91">
      <w:pPr>
        <w:pStyle w:val="ListParagraph"/>
        <w:numPr>
          <w:ilvl w:val="0"/>
          <w:numId w:val="1"/>
        </w:numPr>
        <w:ind w:hanging="720"/>
        <w:rPr>
          <w:rFonts w:ascii="Times New Roman" w:hAnsi="Times New Roman" w:cs="Times New Roman"/>
          <w:i/>
          <w:sz w:val="24"/>
          <w:szCs w:val="24"/>
        </w:rPr>
      </w:pPr>
      <w:r w:rsidRPr="006B178B">
        <w:rPr>
          <w:rFonts w:ascii="Times New Roman" w:hAnsi="Times New Roman" w:cs="Times New Roman"/>
          <w:sz w:val="24"/>
          <w:szCs w:val="24"/>
        </w:rPr>
        <w:t xml:space="preserve">Alas, had these references (paragraphs </w:t>
      </w:r>
      <w:r w:rsidR="0040787F" w:rsidRPr="006B178B">
        <w:rPr>
          <w:rFonts w:ascii="Times New Roman" w:hAnsi="Times New Roman" w:cs="Times New Roman"/>
          <w:sz w:val="24"/>
          <w:szCs w:val="24"/>
        </w:rPr>
        <w:t>70</w:t>
      </w:r>
      <w:r w:rsidR="00295FDE" w:rsidRPr="006B178B">
        <w:rPr>
          <w:rFonts w:ascii="Times New Roman" w:hAnsi="Times New Roman" w:cs="Times New Roman"/>
          <w:sz w:val="24"/>
          <w:szCs w:val="24"/>
        </w:rPr>
        <w:t xml:space="preserve"> to 7</w:t>
      </w:r>
      <w:r w:rsidR="0040787F" w:rsidRPr="006B178B">
        <w:rPr>
          <w:rFonts w:ascii="Times New Roman" w:hAnsi="Times New Roman" w:cs="Times New Roman"/>
          <w:sz w:val="24"/>
          <w:szCs w:val="24"/>
        </w:rPr>
        <w:t>7</w:t>
      </w:r>
      <w:r w:rsidRPr="006B178B">
        <w:rPr>
          <w:rFonts w:ascii="Times New Roman" w:hAnsi="Times New Roman" w:cs="Times New Roman"/>
          <w:sz w:val="24"/>
          <w:szCs w:val="24"/>
        </w:rPr>
        <w:t xml:space="preserve">) been given their true attention one would then actually have one provincial entity prosecuting another provincial entity. </w:t>
      </w:r>
    </w:p>
    <w:p w:rsidR="007A4D8F" w:rsidRPr="006B178B" w:rsidRDefault="007A4D8F" w:rsidP="000A4E91">
      <w:pPr>
        <w:pStyle w:val="ListParagraph"/>
        <w:ind w:hanging="720"/>
        <w:rPr>
          <w:rFonts w:ascii="Times New Roman" w:hAnsi="Times New Roman" w:cs="Times New Roman"/>
          <w:b/>
          <w:sz w:val="24"/>
          <w:szCs w:val="24"/>
          <w:u w:val="single"/>
        </w:rPr>
      </w:pPr>
    </w:p>
    <w:p w:rsidR="0040787F" w:rsidRPr="006B178B" w:rsidRDefault="0040787F" w:rsidP="00871AD5">
      <w:pPr>
        <w:rPr>
          <w:rFonts w:ascii="Times New Roman" w:hAnsi="Times New Roman" w:cs="Times New Roman"/>
          <w:b/>
          <w:sz w:val="24"/>
          <w:szCs w:val="24"/>
          <w:u w:val="single"/>
        </w:rPr>
      </w:pPr>
    </w:p>
    <w:p w:rsidR="008573D0" w:rsidRPr="006B178B" w:rsidRDefault="00B024BD" w:rsidP="00871AD5">
      <w:pPr>
        <w:rPr>
          <w:rFonts w:ascii="Times New Roman" w:hAnsi="Times New Roman" w:cs="Times New Roman"/>
          <w:b/>
          <w:sz w:val="24"/>
          <w:szCs w:val="24"/>
          <w:u w:val="single"/>
        </w:rPr>
      </w:pPr>
      <w:r w:rsidRPr="006B178B">
        <w:rPr>
          <w:rFonts w:ascii="Times New Roman" w:hAnsi="Times New Roman" w:cs="Times New Roman"/>
          <w:b/>
          <w:sz w:val="24"/>
          <w:szCs w:val="24"/>
          <w:u w:val="single"/>
        </w:rPr>
        <w:lastRenderedPageBreak/>
        <w:t>Conclusion</w:t>
      </w:r>
    </w:p>
    <w:p w:rsidR="008573D0" w:rsidRPr="006B178B" w:rsidRDefault="0062131B" w:rsidP="000A4E91">
      <w:pPr>
        <w:pStyle w:val="ListParagraph"/>
        <w:numPr>
          <w:ilvl w:val="0"/>
          <w:numId w:val="1"/>
        </w:numPr>
        <w:ind w:hanging="720"/>
        <w:rPr>
          <w:rFonts w:ascii="Times New Roman" w:hAnsi="Times New Roman" w:cs="Times New Roman"/>
          <w:sz w:val="24"/>
          <w:szCs w:val="24"/>
          <w:u w:val="single"/>
        </w:rPr>
      </w:pPr>
      <w:r w:rsidRPr="006B178B">
        <w:rPr>
          <w:rFonts w:ascii="Times New Roman" w:hAnsi="Times New Roman" w:cs="Times New Roman"/>
          <w:sz w:val="24"/>
          <w:szCs w:val="24"/>
        </w:rPr>
        <w:t xml:space="preserve">All of the </w:t>
      </w:r>
      <w:r w:rsidR="0050720D" w:rsidRPr="006B178B">
        <w:rPr>
          <w:rFonts w:ascii="Times New Roman" w:hAnsi="Times New Roman" w:cs="Times New Roman"/>
          <w:sz w:val="24"/>
          <w:szCs w:val="24"/>
        </w:rPr>
        <w:t>aforementioned</w:t>
      </w:r>
      <w:r w:rsidRPr="006B178B">
        <w:rPr>
          <w:rFonts w:ascii="Times New Roman" w:hAnsi="Times New Roman" w:cs="Times New Roman"/>
          <w:sz w:val="24"/>
          <w:szCs w:val="24"/>
        </w:rPr>
        <w:t xml:space="preserve"> are just some of the evidence, exhibits and testimony that was not worthy of any attention by the VC and also totally overlooked. </w:t>
      </w:r>
    </w:p>
    <w:p w:rsidR="00A30933" w:rsidRPr="006B178B" w:rsidRDefault="00A30933" w:rsidP="000A4E91">
      <w:pPr>
        <w:pStyle w:val="ListParagraph"/>
        <w:ind w:hanging="720"/>
        <w:rPr>
          <w:rFonts w:ascii="Times New Roman" w:hAnsi="Times New Roman" w:cs="Times New Roman"/>
          <w:sz w:val="24"/>
          <w:szCs w:val="24"/>
          <w:u w:val="single"/>
        </w:rPr>
      </w:pPr>
    </w:p>
    <w:p w:rsidR="00A30933" w:rsidRPr="006B178B" w:rsidRDefault="0062131B" w:rsidP="000A4E91">
      <w:pPr>
        <w:pStyle w:val="ListParagraph"/>
        <w:numPr>
          <w:ilvl w:val="0"/>
          <w:numId w:val="1"/>
        </w:numPr>
        <w:ind w:hanging="720"/>
        <w:rPr>
          <w:rFonts w:ascii="Times New Roman" w:hAnsi="Times New Roman" w:cs="Times New Roman"/>
          <w:sz w:val="24"/>
          <w:szCs w:val="24"/>
          <w:u w:val="single"/>
        </w:rPr>
      </w:pPr>
      <w:r w:rsidRPr="006B178B">
        <w:rPr>
          <w:rFonts w:ascii="Times New Roman" w:hAnsi="Times New Roman" w:cs="Times New Roman"/>
          <w:sz w:val="24"/>
          <w:szCs w:val="24"/>
        </w:rPr>
        <w:t>When one compares the amount of exhibits tendered by the respondent it e</w:t>
      </w:r>
      <w:r w:rsidR="0050720D" w:rsidRPr="006B178B">
        <w:rPr>
          <w:rFonts w:ascii="Times New Roman" w:hAnsi="Times New Roman" w:cs="Times New Roman"/>
          <w:sz w:val="24"/>
          <w:szCs w:val="24"/>
        </w:rPr>
        <w:t xml:space="preserve">quates to less than a </w:t>
      </w:r>
      <w:r w:rsidRPr="006B178B">
        <w:rPr>
          <w:rFonts w:ascii="Times New Roman" w:hAnsi="Times New Roman" w:cs="Times New Roman"/>
          <w:sz w:val="24"/>
          <w:szCs w:val="24"/>
        </w:rPr>
        <w:t>7</w:t>
      </w:r>
      <w:r w:rsidR="0050720D" w:rsidRPr="006B178B">
        <w:rPr>
          <w:rFonts w:ascii="Times New Roman" w:hAnsi="Times New Roman" w:cs="Times New Roman"/>
          <w:sz w:val="24"/>
          <w:szCs w:val="24"/>
          <w:vertAlign w:val="superscript"/>
        </w:rPr>
        <w:t>th</w:t>
      </w:r>
      <w:r w:rsidR="0050720D" w:rsidRPr="006B178B">
        <w:rPr>
          <w:rFonts w:ascii="Times New Roman" w:hAnsi="Times New Roman" w:cs="Times New Roman"/>
          <w:sz w:val="24"/>
          <w:szCs w:val="24"/>
        </w:rPr>
        <w:t xml:space="preserve"> of </w:t>
      </w:r>
      <w:r w:rsidRPr="006B178B">
        <w:rPr>
          <w:rFonts w:ascii="Times New Roman" w:hAnsi="Times New Roman" w:cs="Times New Roman"/>
          <w:sz w:val="24"/>
          <w:szCs w:val="24"/>
        </w:rPr>
        <w:t>the amount tendered by the applicant.</w:t>
      </w:r>
    </w:p>
    <w:p w:rsidR="00A30933" w:rsidRPr="006B178B" w:rsidRDefault="00A30933" w:rsidP="000A4E91">
      <w:pPr>
        <w:pStyle w:val="ListParagraph"/>
        <w:ind w:hanging="720"/>
        <w:rPr>
          <w:rFonts w:ascii="Times New Roman" w:hAnsi="Times New Roman" w:cs="Times New Roman"/>
          <w:sz w:val="24"/>
          <w:szCs w:val="24"/>
          <w:u w:val="single"/>
        </w:rPr>
      </w:pPr>
    </w:p>
    <w:p w:rsidR="00A30933" w:rsidRPr="006B178B" w:rsidRDefault="0062131B" w:rsidP="000A4E91">
      <w:pPr>
        <w:pStyle w:val="ListParagraph"/>
        <w:numPr>
          <w:ilvl w:val="0"/>
          <w:numId w:val="1"/>
        </w:numPr>
        <w:ind w:hanging="720"/>
        <w:rPr>
          <w:rFonts w:ascii="Times New Roman" w:hAnsi="Times New Roman" w:cs="Times New Roman"/>
          <w:sz w:val="24"/>
          <w:szCs w:val="24"/>
        </w:rPr>
      </w:pPr>
      <w:r w:rsidRPr="006B178B">
        <w:rPr>
          <w:rFonts w:ascii="Times New Roman" w:hAnsi="Times New Roman" w:cs="Times New Roman"/>
          <w:sz w:val="24"/>
          <w:szCs w:val="24"/>
        </w:rPr>
        <w:t>When one looks at the witnesses who testified one se</w:t>
      </w:r>
      <w:r w:rsidR="005B0E07" w:rsidRPr="006B178B">
        <w:rPr>
          <w:rFonts w:ascii="Times New Roman" w:hAnsi="Times New Roman" w:cs="Times New Roman"/>
          <w:sz w:val="24"/>
          <w:szCs w:val="24"/>
        </w:rPr>
        <w:t xml:space="preserve">es that the applicant only had </w:t>
      </w:r>
      <w:r w:rsidR="003233DE" w:rsidRPr="006B178B">
        <w:rPr>
          <w:rFonts w:ascii="Times New Roman" w:hAnsi="Times New Roman" w:cs="Times New Roman"/>
          <w:sz w:val="24"/>
          <w:szCs w:val="24"/>
        </w:rPr>
        <w:t>one witness</w:t>
      </w:r>
      <w:r w:rsidR="005B0E07" w:rsidRPr="006B178B">
        <w:rPr>
          <w:rFonts w:ascii="Times New Roman" w:hAnsi="Times New Roman" w:cs="Times New Roman"/>
          <w:sz w:val="24"/>
          <w:szCs w:val="24"/>
        </w:rPr>
        <w:t xml:space="preserve"> aside himself</w:t>
      </w:r>
      <w:r w:rsidRPr="006B178B">
        <w:rPr>
          <w:rFonts w:ascii="Times New Roman" w:hAnsi="Times New Roman" w:cs="Times New Roman"/>
          <w:sz w:val="24"/>
          <w:szCs w:val="24"/>
        </w:rPr>
        <w:t>: Mr. Greco. Though the respondent will argue that the applicant had several other police witnesses the applicant pointed out tha</w:t>
      </w:r>
      <w:r w:rsidR="003233DE" w:rsidRPr="006B178B">
        <w:rPr>
          <w:rFonts w:ascii="Times New Roman" w:hAnsi="Times New Roman" w:cs="Times New Roman"/>
          <w:sz w:val="24"/>
          <w:szCs w:val="24"/>
        </w:rPr>
        <w:t xml:space="preserve">t they were never his witnesses, </w:t>
      </w:r>
      <w:r w:rsidRPr="006B178B">
        <w:rPr>
          <w:rFonts w:ascii="Times New Roman" w:hAnsi="Times New Roman" w:cs="Times New Roman"/>
          <w:sz w:val="24"/>
          <w:szCs w:val="24"/>
        </w:rPr>
        <w:t>but he was forced to call them because the respondent, at the last minute changed their position on who they were going to call and who they weren’t. This was done and conveniently granted by the HRTO on the grounds that the respondent once again had new counsel</w:t>
      </w:r>
      <w:r w:rsidR="00972AA3" w:rsidRPr="006B178B">
        <w:rPr>
          <w:rFonts w:ascii="Times New Roman" w:hAnsi="Times New Roman" w:cs="Times New Roman"/>
          <w:sz w:val="24"/>
          <w:szCs w:val="24"/>
        </w:rPr>
        <w:t xml:space="preserve">. A total of 6 </w:t>
      </w:r>
      <w:r w:rsidRPr="006B178B">
        <w:rPr>
          <w:rFonts w:ascii="Times New Roman" w:hAnsi="Times New Roman" w:cs="Times New Roman"/>
          <w:sz w:val="24"/>
          <w:szCs w:val="24"/>
        </w:rPr>
        <w:t>counsel</w:t>
      </w:r>
      <w:r w:rsidR="002A1AE2" w:rsidRPr="006B178B">
        <w:rPr>
          <w:rFonts w:ascii="Times New Roman" w:hAnsi="Times New Roman" w:cs="Times New Roman"/>
          <w:sz w:val="24"/>
          <w:szCs w:val="24"/>
        </w:rPr>
        <w:t xml:space="preserve">s, namely Marnie </w:t>
      </w:r>
      <w:proofErr w:type="spellStart"/>
      <w:r w:rsidR="002A1AE2" w:rsidRPr="006B178B">
        <w:rPr>
          <w:rFonts w:ascii="Times New Roman" w:hAnsi="Times New Roman" w:cs="Times New Roman"/>
          <w:sz w:val="24"/>
          <w:szCs w:val="24"/>
        </w:rPr>
        <w:t>Corbold</w:t>
      </w:r>
      <w:proofErr w:type="spellEnd"/>
      <w:r w:rsidR="00972AA3" w:rsidRPr="006B178B">
        <w:rPr>
          <w:rFonts w:ascii="Times New Roman" w:hAnsi="Times New Roman" w:cs="Times New Roman"/>
          <w:sz w:val="24"/>
          <w:szCs w:val="24"/>
        </w:rPr>
        <w:t xml:space="preserve">, </w:t>
      </w:r>
      <w:proofErr w:type="spellStart"/>
      <w:r w:rsidR="00972AA3" w:rsidRPr="006B178B">
        <w:rPr>
          <w:rFonts w:ascii="Times New Roman" w:hAnsi="Times New Roman" w:cs="Times New Roman"/>
          <w:sz w:val="24"/>
          <w:szCs w:val="24"/>
        </w:rPr>
        <w:t>Lynettee</w:t>
      </w:r>
      <w:proofErr w:type="spellEnd"/>
      <w:r w:rsidR="00972AA3" w:rsidRPr="006B178B">
        <w:rPr>
          <w:rFonts w:ascii="Times New Roman" w:hAnsi="Times New Roman" w:cs="Times New Roman"/>
          <w:sz w:val="24"/>
          <w:szCs w:val="24"/>
        </w:rPr>
        <w:t xml:space="preserve"> </w:t>
      </w:r>
      <w:proofErr w:type="spellStart"/>
      <w:r w:rsidR="00972AA3" w:rsidRPr="006B178B">
        <w:rPr>
          <w:rFonts w:ascii="Times New Roman" w:hAnsi="Times New Roman" w:cs="Times New Roman"/>
          <w:sz w:val="24"/>
          <w:szCs w:val="24"/>
        </w:rPr>
        <w:t>D'Sousa</w:t>
      </w:r>
      <w:proofErr w:type="spellEnd"/>
      <w:r w:rsidR="00972AA3" w:rsidRPr="006B178B">
        <w:rPr>
          <w:rFonts w:ascii="Times New Roman" w:hAnsi="Times New Roman" w:cs="Times New Roman"/>
          <w:sz w:val="24"/>
          <w:szCs w:val="24"/>
        </w:rPr>
        <w:t>,</w:t>
      </w:r>
      <w:r w:rsidR="002A1AE2" w:rsidRPr="006B178B">
        <w:rPr>
          <w:rFonts w:ascii="Times New Roman" w:hAnsi="Times New Roman" w:cs="Times New Roman"/>
          <w:sz w:val="24"/>
          <w:szCs w:val="24"/>
        </w:rPr>
        <w:t xml:space="preserve"> Lorenzo </w:t>
      </w:r>
      <w:proofErr w:type="spellStart"/>
      <w:r w:rsidR="002A1AE2" w:rsidRPr="006B178B">
        <w:rPr>
          <w:rFonts w:ascii="Times New Roman" w:hAnsi="Times New Roman" w:cs="Times New Roman"/>
          <w:sz w:val="24"/>
          <w:szCs w:val="24"/>
        </w:rPr>
        <w:t>Policelli</w:t>
      </w:r>
      <w:proofErr w:type="spellEnd"/>
      <w:r w:rsidR="00972AA3" w:rsidRPr="006B178B">
        <w:rPr>
          <w:rFonts w:ascii="Times New Roman" w:hAnsi="Times New Roman" w:cs="Times New Roman"/>
          <w:sz w:val="24"/>
          <w:szCs w:val="24"/>
        </w:rPr>
        <w:t xml:space="preserve">, Bill Manuel, Heidi </w:t>
      </w:r>
      <w:proofErr w:type="spellStart"/>
      <w:r w:rsidR="00972AA3" w:rsidRPr="006B178B">
        <w:rPr>
          <w:rFonts w:ascii="Times New Roman" w:hAnsi="Times New Roman" w:cs="Times New Roman"/>
          <w:sz w:val="24"/>
          <w:szCs w:val="24"/>
        </w:rPr>
        <w:t>Blutstein</w:t>
      </w:r>
      <w:proofErr w:type="spellEnd"/>
      <w:r w:rsidR="00972AA3" w:rsidRPr="006B178B">
        <w:rPr>
          <w:rFonts w:ascii="Times New Roman" w:hAnsi="Times New Roman" w:cs="Times New Roman"/>
          <w:sz w:val="24"/>
          <w:szCs w:val="24"/>
        </w:rPr>
        <w:t xml:space="preserve"> and Mimi Singh,</w:t>
      </w:r>
      <w:r w:rsidRPr="006B178B">
        <w:rPr>
          <w:rFonts w:ascii="Times New Roman" w:hAnsi="Times New Roman" w:cs="Times New Roman"/>
          <w:sz w:val="24"/>
          <w:szCs w:val="24"/>
        </w:rPr>
        <w:t xml:space="preserve"> </w:t>
      </w:r>
      <w:r w:rsidR="00972AA3" w:rsidRPr="006B178B">
        <w:rPr>
          <w:rFonts w:ascii="Times New Roman" w:hAnsi="Times New Roman" w:cs="Times New Roman"/>
          <w:sz w:val="24"/>
          <w:szCs w:val="24"/>
        </w:rPr>
        <w:t>have been involved with this case.</w:t>
      </w:r>
    </w:p>
    <w:p w:rsidR="00A30933" w:rsidRPr="006B178B" w:rsidRDefault="00A30933" w:rsidP="000A4E91">
      <w:pPr>
        <w:pStyle w:val="ListParagraph"/>
        <w:ind w:hanging="720"/>
        <w:rPr>
          <w:rFonts w:ascii="Times New Roman" w:hAnsi="Times New Roman" w:cs="Times New Roman"/>
          <w:sz w:val="24"/>
          <w:szCs w:val="24"/>
          <w:u w:val="single"/>
        </w:rPr>
      </w:pPr>
    </w:p>
    <w:p w:rsidR="00A30933" w:rsidRPr="006B178B" w:rsidRDefault="0062131B" w:rsidP="000A4E91">
      <w:pPr>
        <w:pStyle w:val="ListParagraph"/>
        <w:numPr>
          <w:ilvl w:val="0"/>
          <w:numId w:val="1"/>
        </w:numPr>
        <w:ind w:hanging="720"/>
        <w:rPr>
          <w:rFonts w:ascii="Times New Roman" w:hAnsi="Times New Roman" w:cs="Times New Roman"/>
          <w:sz w:val="24"/>
          <w:szCs w:val="24"/>
          <w:u w:val="single"/>
        </w:rPr>
      </w:pPr>
      <w:r w:rsidRPr="006B178B">
        <w:rPr>
          <w:rFonts w:ascii="Times New Roman" w:hAnsi="Times New Roman" w:cs="Times New Roman"/>
          <w:sz w:val="24"/>
          <w:szCs w:val="24"/>
        </w:rPr>
        <w:t xml:space="preserve">As a result the applicant was forced to call as his witnesses: Constable Jamie Brockley, Constable Mary D’Amico, </w:t>
      </w:r>
      <w:r w:rsidR="004D472E" w:rsidRPr="006B178B">
        <w:rPr>
          <w:rFonts w:ascii="Times New Roman" w:hAnsi="Times New Roman" w:cs="Times New Roman"/>
          <w:sz w:val="24"/>
          <w:szCs w:val="24"/>
        </w:rPr>
        <w:t xml:space="preserve">Constable Melinda Moran, </w:t>
      </w:r>
      <w:r w:rsidRPr="006B178B">
        <w:rPr>
          <w:rFonts w:ascii="Times New Roman" w:hAnsi="Times New Roman" w:cs="Times New Roman"/>
          <w:sz w:val="24"/>
          <w:szCs w:val="24"/>
        </w:rPr>
        <w:t xml:space="preserve">Constable Kevin Duignan, </w:t>
      </w:r>
      <w:r w:rsidR="004D472E" w:rsidRPr="006B178B">
        <w:rPr>
          <w:rFonts w:ascii="Times New Roman" w:hAnsi="Times New Roman" w:cs="Times New Roman"/>
          <w:sz w:val="24"/>
          <w:szCs w:val="24"/>
        </w:rPr>
        <w:t xml:space="preserve">Constable Marc Gravelle, </w:t>
      </w:r>
      <w:r w:rsidR="00B51354" w:rsidRPr="006B178B">
        <w:rPr>
          <w:rFonts w:ascii="Times New Roman" w:hAnsi="Times New Roman" w:cs="Times New Roman"/>
          <w:sz w:val="24"/>
          <w:szCs w:val="24"/>
        </w:rPr>
        <w:t xml:space="preserve">Constable Karen German, </w:t>
      </w:r>
      <w:r w:rsidR="004D472E" w:rsidRPr="006B178B">
        <w:rPr>
          <w:rFonts w:ascii="Times New Roman" w:hAnsi="Times New Roman" w:cs="Times New Roman"/>
          <w:sz w:val="24"/>
          <w:szCs w:val="24"/>
        </w:rPr>
        <w:t xml:space="preserve">Sergeant Brad Rathbun, Sergeant Jason Postma, </w:t>
      </w:r>
      <w:r w:rsidR="00B51354" w:rsidRPr="006B178B">
        <w:rPr>
          <w:rFonts w:ascii="Times New Roman" w:hAnsi="Times New Roman" w:cs="Times New Roman"/>
          <w:sz w:val="24"/>
          <w:szCs w:val="24"/>
        </w:rPr>
        <w:t xml:space="preserve">Inspector Mike Johnston, </w:t>
      </w:r>
      <w:r w:rsidRPr="006B178B">
        <w:rPr>
          <w:rFonts w:ascii="Times New Roman" w:hAnsi="Times New Roman" w:cs="Times New Roman"/>
          <w:sz w:val="24"/>
          <w:szCs w:val="24"/>
        </w:rPr>
        <w:t>Staff Sergeant Colleen Kohen</w:t>
      </w:r>
      <w:r w:rsidR="00B51354" w:rsidRPr="006B178B">
        <w:rPr>
          <w:rFonts w:ascii="Times New Roman" w:hAnsi="Times New Roman" w:cs="Times New Roman"/>
          <w:sz w:val="24"/>
          <w:szCs w:val="24"/>
        </w:rPr>
        <w:t>, Superintendent Hugh Stevenson and</w:t>
      </w:r>
      <w:r w:rsidRPr="006B178B">
        <w:rPr>
          <w:rFonts w:ascii="Times New Roman" w:hAnsi="Times New Roman" w:cs="Times New Roman"/>
          <w:sz w:val="24"/>
          <w:szCs w:val="24"/>
        </w:rPr>
        <w:t xml:space="preserve"> Chief Superintendent Mike </w:t>
      </w:r>
      <w:r w:rsidR="00B51354" w:rsidRPr="006B178B">
        <w:rPr>
          <w:rFonts w:ascii="Times New Roman" w:hAnsi="Times New Roman" w:cs="Times New Roman"/>
          <w:sz w:val="24"/>
          <w:szCs w:val="24"/>
        </w:rPr>
        <w:t>Armstrong</w:t>
      </w:r>
      <w:r w:rsidR="00E35048" w:rsidRPr="006B178B">
        <w:rPr>
          <w:rFonts w:ascii="Times New Roman" w:hAnsi="Times New Roman" w:cs="Times New Roman"/>
          <w:sz w:val="24"/>
          <w:szCs w:val="24"/>
        </w:rPr>
        <w:t xml:space="preserve">. </w:t>
      </w:r>
      <w:r w:rsidRPr="006B178B">
        <w:rPr>
          <w:rFonts w:ascii="Times New Roman" w:hAnsi="Times New Roman" w:cs="Times New Roman"/>
          <w:sz w:val="24"/>
          <w:szCs w:val="24"/>
        </w:rPr>
        <w:t>This was a deliberate move by the respondent for they knew the Rules of Evidence dictated it would be an examination in chief for each of them by the applicant – a more stringent approach of garnishing an</w:t>
      </w:r>
      <w:r w:rsidR="005B0E07" w:rsidRPr="006B178B">
        <w:rPr>
          <w:rFonts w:ascii="Times New Roman" w:hAnsi="Times New Roman" w:cs="Times New Roman"/>
          <w:sz w:val="24"/>
          <w:szCs w:val="24"/>
        </w:rPr>
        <w:t>y</w:t>
      </w:r>
      <w:r w:rsidRPr="006B178B">
        <w:rPr>
          <w:rFonts w:ascii="Times New Roman" w:hAnsi="Times New Roman" w:cs="Times New Roman"/>
          <w:sz w:val="24"/>
          <w:szCs w:val="24"/>
        </w:rPr>
        <w:t xml:space="preserve"> possible evidence. </w:t>
      </w:r>
    </w:p>
    <w:p w:rsidR="00A30933" w:rsidRPr="006B178B" w:rsidRDefault="00A30933" w:rsidP="000A4E91">
      <w:pPr>
        <w:pStyle w:val="ListParagraph"/>
        <w:ind w:hanging="720"/>
        <w:rPr>
          <w:rFonts w:ascii="Times New Roman" w:hAnsi="Times New Roman" w:cs="Times New Roman"/>
          <w:sz w:val="24"/>
          <w:szCs w:val="24"/>
          <w:u w:val="single"/>
        </w:rPr>
      </w:pPr>
    </w:p>
    <w:p w:rsidR="00361AFE" w:rsidRPr="006B178B" w:rsidRDefault="0062131B" w:rsidP="000A4E91">
      <w:pPr>
        <w:pStyle w:val="ListParagraph"/>
        <w:numPr>
          <w:ilvl w:val="0"/>
          <w:numId w:val="1"/>
        </w:numPr>
        <w:ind w:hanging="720"/>
        <w:rPr>
          <w:rFonts w:ascii="Times New Roman" w:hAnsi="Times New Roman" w:cs="Times New Roman"/>
          <w:sz w:val="24"/>
          <w:szCs w:val="24"/>
          <w:u w:val="single"/>
        </w:rPr>
      </w:pPr>
      <w:r w:rsidRPr="006B178B">
        <w:rPr>
          <w:rFonts w:ascii="Times New Roman" w:hAnsi="Times New Roman" w:cs="Times New Roman"/>
          <w:sz w:val="24"/>
          <w:szCs w:val="24"/>
        </w:rPr>
        <w:t xml:space="preserve">Seeing this the applicant sought permission from the VC to have these witnesses declared as hostile witness, but his request was denied and as a result each of them were found to have numerous responses of ‘I </w:t>
      </w:r>
      <w:r w:rsidR="004D472E" w:rsidRPr="006B178B">
        <w:rPr>
          <w:rFonts w:ascii="Times New Roman" w:hAnsi="Times New Roman" w:cs="Times New Roman"/>
          <w:sz w:val="24"/>
          <w:szCs w:val="24"/>
        </w:rPr>
        <w:t>cannot</w:t>
      </w:r>
      <w:r w:rsidRPr="006B178B">
        <w:rPr>
          <w:rFonts w:ascii="Times New Roman" w:hAnsi="Times New Roman" w:cs="Times New Roman"/>
          <w:sz w:val="24"/>
          <w:szCs w:val="24"/>
        </w:rPr>
        <w:t xml:space="preserve"> recall’ and or ‘I don’t remember’. Though the respondent might beg to differ on this assertion the applicant points out that had they been declared hostile witnesses he would have been able to conduct his examination in chief in th</w:t>
      </w:r>
      <w:r w:rsidR="00361AFE" w:rsidRPr="006B178B">
        <w:rPr>
          <w:rFonts w:ascii="Times New Roman" w:hAnsi="Times New Roman" w:cs="Times New Roman"/>
          <w:sz w:val="24"/>
          <w:szCs w:val="24"/>
        </w:rPr>
        <w:t>e manner of a cross-examination.</w:t>
      </w:r>
      <w:r w:rsidRPr="006B178B">
        <w:rPr>
          <w:rFonts w:ascii="Times New Roman" w:hAnsi="Times New Roman" w:cs="Times New Roman"/>
          <w:sz w:val="24"/>
          <w:szCs w:val="24"/>
        </w:rPr>
        <w:t xml:space="preserve"> </w:t>
      </w:r>
      <w:r w:rsidR="00836416" w:rsidRPr="006B178B">
        <w:rPr>
          <w:rFonts w:ascii="Times New Roman" w:hAnsi="Times New Roman" w:cs="Times New Roman"/>
          <w:sz w:val="24"/>
          <w:szCs w:val="24"/>
        </w:rPr>
        <w:t>Via a cross examination the applicant would have been able to put forward numerous documentary evidence to jog their memories.</w:t>
      </w:r>
    </w:p>
    <w:p w:rsidR="00361AFE" w:rsidRPr="006B178B" w:rsidRDefault="00361AFE" w:rsidP="000A4E91">
      <w:pPr>
        <w:pStyle w:val="ListParagraph"/>
        <w:ind w:hanging="720"/>
        <w:rPr>
          <w:rFonts w:ascii="Times New Roman" w:hAnsi="Times New Roman" w:cs="Times New Roman"/>
          <w:sz w:val="24"/>
          <w:szCs w:val="24"/>
          <w:u w:val="single"/>
        </w:rPr>
      </w:pPr>
    </w:p>
    <w:p w:rsidR="00267196" w:rsidRPr="006B178B" w:rsidRDefault="0062131B" w:rsidP="000A4E91">
      <w:pPr>
        <w:pStyle w:val="ListParagraph"/>
        <w:numPr>
          <w:ilvl w:val="0"/>
          <w:numId w:val="1"/>
        </w:numPr>
        <w:ind w:hanging="720"/>
        <w:rPr>
          <w:rFonts w:ascii="Times New Roman" w:hAnsi="Times New Roman" w:cs="Times New Roman"/>
          <w:sz w:val="24"/>
          <w:szCs w:val="24"/>
        </w:rPr>
      </w:pPr>
      <w:r w:rsidRPr="006B178B">
        <w:rPr>
          <w:rFonts w:ascii="Times New Roman" w:hAnsi="Times New Roman" w:cs="Times New Roman"/>
          <w:sz w:val="24"/>
          <w:szCs w:val="24"/>
        </w:rPr>
        <w:t xml:space="preserve">At the commencement of each set of hearing days the applicant and his representative were </w:t>
      </w:r>
      <w:r w:rsidR="00E35048" w:rsidRPr="006B178B">
        <w:rPr>
          <w:rFonts w:ascii="Times New Roman" w:hAnsi="Times New Roman" w:cs="Times New Roman"/>
          <w:sz w:val="24"/>
          <w:szCs w:val="24"/>
        </w:rPr>
        <w:t xml:space="preserve">offered and at times </w:t>
      </w:r>
      <w:r w:rsidRPr="006B178B">
        <w:rPr>
          <w:rFonts w:ascii="Times New Roman" w:hAnsi="Times New Roman" w:cs="Times New Roman"/>
          <w:sz w:val="24"/>
          <w:szCs w:val="24"/>
        </w:rPr>
        <w:t xml:space="preserve">literally coerced by </w:t>
      </w:r>
      <w:r w:rsidR="00E3202B" w:rsidRPr="006B178B">
        <w:rPr>
          <w:rFonts w:ascii="Times New Roman" w:hAnsi="Times New Roman" w:cs="Times New Roman"/>
          <w:sz w:val="24"/>
          <w:szCs w:val="24"/>
        </w:rPr>
        <w:t xml:space="preserve">the </w:t>
      </w:r>
      <w:r w:rsidRPr="006B178B">
        <w:rPr>
          <w:rFonts w:ascii="Times New Roman" w:hAnsi="Times New Roman" w:cs="Times New Roman"/>
          <w:sz w:val="24"/>
          <w:szCs w:val="24"/>
        </w:rPr>
        <w:t>VC to entertain mediation, which they never asked for</w:t>
      </w:r>
      <w:r w:rsidR="00E35048" w:rsidRPr="006B178B">
        <w:rPr>
          <w:rFonts w:ascii="Times New Roman" w:hAnsi="Times New Roman" w:cs="Times New Roman"/>
          <w:sz w:val="24"/>
          <w:szCs w:val="24"/>
        </w:rPr>
        <w:t xml:space="preserve">, but </w:t>
      </w:r>
      <w:r w:rsidR="00E3202B" w:rsidRPr="006B178B">
        <w:rPr>
          <w:rFonts w:ascii="Times New Roman" w:hAnsi="Times New Roman" w:cs="Times New Roman"/>
          <w:sz w:val="24"/>
          <w:szCs w:val="24"/>
        </w:rPr>
        <w:t>did so</w:t>
      </w:r>
      <w:r w:rsidR="00E35048" w:rsidRPr="006B178B">
        <w:rPr>
          <w:rFonts w:ascii="Times New Roman" w:hAnsi="Times New Roman" w:cs="Times New Roman"/>
          <w:sz w:val="24"/>
          <w:szCs w:val="24"/>
        </w:rPr>
        <w:t xml:space="preserve"> </w:t>
      </w:r>
      <w:r w:rsidRPr="006B178B">
        <w:rPr>
          <w:rFonts w:ascii="Times New Roman" w:hAnsi="Times New Roman" w:cs="Times New Roman"/>
          <w:sz w:val="24"/>
          <w:szCs w:val="24"/>
        </w:rPr>
        <w:t xml:space="preserve">under coercion. </w:t>
      </w:r>
      <w:r w:rsidR="00361AFE" w:rsidRPr="006B178B">
        <w:rPr>
          <w:rFonts w:ascii="Times New Roman" w:hAnsi="Times New Roman" w:cs="Times New Roman"/>
          <w:sz w:val="24"/>
          <w:szCs w:val="24"/>
        </w:rPr>
        <w:t>At one such time the VC said, ‘W</w:t>
      </w:r>
      <w:r w:rsidR="00E50D1E" w:rsidRPr="006B178B">
        <w:rPr>
          <w:rFonts w:ascii="Times New Roman" w:hAnsi="Times New Roman" w:cs="Times New Roman"/>
          <w:sz w:val="24"/>
          <w:szCs w:val="24"/>
        </w:rPr>
        <w:t>ell let me put it this way, I am forcing you.’</w:t>
      </w:r>
    </w:p>
    <w:p w:rsidR="00E3202B" w:rsidRPr="006B178B" w:rsidRDefault="00E3202B" w:rsidP="00E3202B">
      <w:pPr>
        <w:pStyle w:val="ListParagraph"/>
        <w:rPr>
          <w:rFonts w:ascii="Times New Roman" w:hAnsi="Times New Roman" w:cs="Times New Roman"/>
          <w:sz w:val="24"/>
          <w:szCs w:val="24"/>
        </w:rPr>
      </w:pPr>
    </w:p>
    <w:p w:rsidR="00E3202B" w:rsidRPr="006B178B" w:rsidRDefault="00D33B4E" w:rsidP="000A4E91">
      <w:pPr>
        <w:pStyle w:val="ListParagraph"/>
        <w:numPr>
          <w:ilvl w:val="0"/>
          <w:numId w:val="1"/>
        </w:numPr>
        <w:ind w:hanging="720"/>
        <w:rPr>
          <w:rFonts w:ascii="Times New Roman" w:hAnsi="Times New Roman" w:cs="Times New Roman"/>
          <w:sz w:val="24"/>
          <w:szCs w:val="24"/>
        </w:rPr>
      </w:pPr>
      <w:r>
        <w:rPr>
          <w:rFonts w:ascii="Times New Roman" w:hAnsi="Times New Roman" w:cs="Times New Roman"/>
          <w:sz w:val="24"/>
          <w:szCs w:val="24"/>
        </w:rPr>
        <w:t xml:space="preserve">One </w:t>
      </w:r>
      <w:r w:rsidR="00E3202B" w:rsidRPr="006B178B">
        <w:rPr>
          <w:rFonts w:ascii="Times New Roman" w:hAnsi="Times New Roman" w:cs="Times New Roman"/>
          <w:sz w:val="24"/>
          <w:szCs w:val="24"/>
        </w:rPr>
        <w:t xml:space="preserve">has to </w:t>
      </w:r>
      <w:r>
        <w:rPr>
          <w:rFonts w:ascii="Times New Roman" w:hAnsi="Times New Roman" w:cs="Times New Roman"/>
          <w:sz w:val="24"/>
          <w:szCs w:val="24"/>
        </w:rPr>
        <w:t xml:space="preserve">just </w:t>
      </w:r>
      <w:bookmarkStart w:id="0" w:name="_GoBack"/>
      <w:bookmarkEnd w:id="0"/>
      <w:r w:rsidR="00E3202B" w:rsidRPr="006B178B">
        <w:rPr>
          <w:rFonts w:ascii="Times New Roman" w:hAnsi="Times New Roman" w:cs="Times New Roman"/>
          <w:sz w:val="24"/>
          <w:szCs w:val="24"/>
        </w:rPr>
        <w:t xml:space="preserve">count the number of times the applicant had to entertain mediation to see that the VC simply wanted the case to end. </w:t>
      </w:r>
    </w:p>
    <w:p w:rsidR="00267196" w:rsidRPr="006B178B" w:rsidRDefault="00267196" w:rsidP="000A4E91">
      <w:pPr>
        <w:pStyle w:val="ListParagraph"/>
        <w:ind w:hanging="720"/>
        <w:rPr>
          <w:rFonts w:ascii="Times New Roman" w:hAnsi="Times New Roman" w:cs="Times New Roman"/>
          <w:sz w:val="24"/>
          <w:szCs w:val="24"/>
        </w:rPr>
      </w:pPr>
    </w:p>
    <w:p w:rsidR="00267196" w:rsidRPr="006B178B" w:rsidRDefault="0062131B" w:rsidP="000A4E91">
      <w:pPr>
        <w:pStyle w:val="ListParagraph"/>
        <w:numPr>
          <w:ilvl w:val="0"/>
          <w:numId w:val="1"/>
        </w:numPr>
        <w:ind w:hanging="720"/>
        <w:rPr>
          <w:rFonts w:ascii="Times New Roman" w:hAnsi="Times New Roman" w:cs="Times New Roman"/>
          <w:sz w:val="24"/>
          <w:szCs w:val="24"/>
          <w:u w:val="single"/>
        </w:rPr>
      </w:pPr>
      <w:r w:rsidRPr="006B178B">
        <w:rPr>
          <w:rFonts w:ascii="Times New Roman" w:hAnsi="Times New Roman" w:cs="Times New Roman"/>
          <w:sz w:val="24"/>
          <w:szCs w:val="24"/>
        </w:rPr>
        <w:lastRenderedPageBreak/>
        <w:t>For all of the aforementioned the applicant is able to say that his application was too much for the VC.</w:t>
      </w:r>
      <w:r w:rsidR="009147EF" w:rsidRPr="006B178B">
        <w:rPr>
          <w:rFonts w:ascii="Times New Roman" w:hAnsi="Times New Roman" w:cs="Times New Roman"/>
          <w:sz w:val="24"/>
          <w:szCs w:val="24"/>
        </w:rPr>
        <w:t xml:space="preserve"> Thus this Tribunal did fail in its task to take into account all of the evidence.</w:t>
      </w:r>
      <w:r w:rsidRPr="006B178B">
        <w:rPr>
          <w:rStyle w:val="FootnoteReference"/>
          <w:rFonts w:ascii="Times New Roman" w:hAnsi="Times New Roman" w:cs="Times New Roman"/>
          <w:sz w:val="24"/>
          <w:szCs w:val="24"/>
        </w:rPr>
        <w:footnoteReference w:id="65"/>
      </w:r>
      <w:r w:rsidRPr="006B178B">
        <w:rPr>
          <w:rFonts w:ascii="Times New Roman" w:hAnsi="Times New Roman" w:cs="Times New Roman"/>
          <w:sz w:val="24"/>
          <w:szCs w:val="24"/>
        </w:rPr>
        <w:t xml:space="preserve"> </w:t>
      </w:r>
    </w:p>
    <w:p w:rsidR="00267196" w:rsidRPr="006B178B" w:rsidRDefault="00267196" w:rsidP="000A4E91">
      <w:pPr>
        <w:pStyle w:val="ListParagraph"/>
        <w:ind w:hanging="720"/>
        <w:rPr>
          <w:rFonts w:ascii="Times New Roman" w:hAnsi="Times New Roman" w:cs="Times New Roman"/>
          <w:sz w:val="24"/>
          <w:szCs w:val="24"/>
        </w:rPr>
      </w:pPr>
    </w:p>
    <w:p w:rsidR="00A30933" w:rsidRPr="006B178B" w:rsidRDefault="0062131B" w:rsidP="000A4E91">
      <w:pPr>
        <w:pStyle w:val="ListParagraph"/>
        <w:numPr>
          <w:ilvl w:val="0"/>
          <w:numId w:val="1"/>
        </w:numPr>
        <w:ind w:hanging="720"/>
        <w:rPr>
          <w:rFonts w:ascii="Times New Roman" w:hAnsi="Times New Roman" w:cs="Times New Roman"/>
          <w:sz w:val="24"/>
          <w:szCs w:val="24"/>
          <w:u w:val="single"/>
        </w:rPr>
      </w:pPr>
      <w:r w:rsidRPr="006B178B">
        <w:rPr>
          <w:rFonts w:ascii="Times New Roman" w:hAnsi="Times New Roman" w:cs="Times New Roman"/>
          <w:sz w:val="24"/>
          <w:szCs w:val="24"/>
        </w:rPr>
        <w:t>The VC used his years of experience under the bar and his ten year HRTO term to extract choice case law to easily support casual references to testimony without much attention being paid to documentary evidence and more importantly hardly any attention to much of th</w:t>
      </w:r>
      <w:r w:rsidR="003233DE" w:rsidRPr="006B178B">
        <w:rPr>
          <w:rFonts w:ascii="Times New Roman" w:hAnsi="Times New Roman" w:cs="Times New Roman"/>
          <w:sz w:val="24"/>
          <w:szCs w:val="24"/>
        </w:rPr>
        <w:t xml:space="preserve">e applicant’s </w:t>
      </w:r>
      <w:r w:rsidR="00467EC3" w:rsidRPr="006B178B">
        <w:rPr>
          <w:rFonts w:ascii="Times New Roman" w:hAnsi="Times New Roman" w:cs="Times New Roman"/>
          <w:sz w:val="24"/>
          <w:szCs w:val="24"/>
        </w:rPr>
        <w:t xml:space="preserve">testimony and documentary evidence in the form of </w:t>
      </w:r>
      <w:r w:rsidR="003233DE" w:rsidRPr="006B178B">
        <w:rPr>
          <w:rFonts w:ascii="Times New Roman" w:hAnsi="Times New Roman" w:cs="Times New Roman"/>
          <w:sz w:val="24"/>
          <w:szCs w:val="24"/>
        </w:rPr>
        <w:t>tendered exhibits</w:t>
      </w:r>
      <w:r w:rsidR="00217BFC" w:rsidRPr="006B178B">
        <w:rPr>
          <w:rFonts w:ascii="Times New Roman" w:hAnsi="Times New Roman" w:cs="Times New Roman"/>
          <w:sz w:val="24"/>
          <w:szCs w:val="24"/>
        </w:rPr>
        <w:t>.</w:t>
      </w:r>
      <w:r w:rsidRPr="006B178B">
        <w:rPr>
          <w:rStyle w:val="FootnoteReference"/>
          <w:rFonts w:ascii="Times New Roman" w:hAnsi="Times New Roman" w:cs="Times New Roman"/>
          <w:sz w:val="24"/>
          <w:szCs w:val="24"/>
        </w:rPr>
        <w:footnoteReference w:id="66"/>
      </w:r>
      <w:r w:rsidRPr="006B178B">
        <w:rPr>
          <w:rFonts w:ascii="Times New Roman" w:hAnsi="Times New Roman" w:cs="Times New Roman"/>
          <w:sz w:val="24"/>
          <w:szCs w:val="24"/>
        </w:rPr>
        <w:t xml:space="preserve"> </w:t>
      </w:r>
    </w:p>
    <w:p w:rsidR="00A30933" w:rsidRPr="006B178B" w:rsidRDefault="00A30933" w:rsidP="000A4E91">
      <w:pPr>
        <w:pStyle w:val="ListParagraph"/>
        <w:ind w:hanging="720"/>
        <w:rPr>
          <w:rFonts w:ascii="Times New Roman" w:hAnsi="Times New Roman" w:cs="Times New Roman"/>
          <w:sz w:val="24"/>
          <w:szCs w:val="24"/>
          <w:u w:val="single"/>
        </w:rPr>
      </w:pPr>
    </w:p>
    <w:p w:rsidR="00A30933" w:rsidRPr="006B178B" w:rsidRDefault="0062131B" w:rsidP="000A4E91">
      <w:pPr>
        <w:pStyle w:val="ListParagraph"/>
        <w:numPr>
          <w:ilvl w:val="0"/>
          <w:numId w:val="1"/>
        </w:numPr>
        <w:ind w:hanging="720"/>
        <w:rPr>
          <w:rFonts w:ascii="Times New Roman" w:hAnsi="Times New Roman" w:cs="Times New Roman"/>
          <w:sz w:val="24"/>
          <w:szCs w:val="24"/>
          <w:u w:val="single"/>
        </w:rPr>
      </w:pPr>
      <w:r w:rsidRPr="006B178B">
        <w:rPr>
          <w:rFonts w:ascii="Times New Roman" w:hAnsi="Times New Roman" w:cs="Times New Roman"/>
          <w:sz w:val="24"/>
          <w:szCs w:val="24"/>
        </w:rPr>
        <w:t>The applicant prays that justice can be corrected</w:t>
      </w:r>
      <w:r w:rsidR="00467EC3" w:rsidRPr="006B178B">
        <w:rPr>
          <w:rFonts w:ascii="Times New Roman" w:hAnsi="Times New Roman" w:cs="Times New Roman"/>
          <w:sz w:val="24"/>
          <w:szCs w:val="24"/>
        </w:rPr>
        <w:t>,</w:t>
      </w:r>
      <w:r w:rsidRPr="006B178B">
        <w:rPr>
          <w:rFonts w:ascii="Times New Roman" w:hAnsi="Times New Roman" w:cs="Times New Roman"/>
          <w:sz w:val="24"/>
          <w:szCs w:val="24"/>
        </w:rPr>
        <w:t xml:space="preserve"> but is optimistic for he is actually asking one provincial entity to hold accountable another provincial entity.</w:t>
      </w:r>
    </w:p>
    <w:p w:rsidR="000346B1" w:rsidRPr="006B178B" w:rsidRDefault="000346B1" w:rsidP="000A4E91">
      <w:pPr>
        <w:pStyle w:val="ListParagraph"/>
        <w:ind w:hanging="720"/>
        <w:rPr>
          <w:rFonts w:ascii="Times New Roman" w:hAnsi="Times New Roman" w:cs="Times New Roman"/>
          <w:sz w:val="24"/>
          <w:szCs w:val="24"/>
          <w:u w:val="single"/>
        </w:rPr>
      </w:pPr>
    </w:p>
    <w:p w:rsidR="000346B1" w:rsidRPr="006B178B" w:rsidRDefault="0062131B" w:rsidP="000A4E91">
      <w:pPr>
        <w:pStyle w:val="ListParagraph"/>
        <w:numPr>
          <w:ilvl w:val="0"/>
          <w:numId w:val="1"/>
        </w:numPr>
        <w:ind w:hanging="720"/>
        <w:rPr>
          <w:rFonts w:ascii="Times New Roman" w:hAnsi="Times New Roman" w:cs="Times New Roman"/>
          <w:sz w:val="24"/>
          <w:szCs w:val="24"/>
          <w:u w:val="single"/>
        </w:rPr>
      </w:pPr>
      <w:r w:rsidRPr="006B178B">
        <w:rPr>
          <w:rFonts w:ascii="Times New Roman" w:hAnsi="Times New Roman" w:cs="Times New Roman"/>
          <w:sz w:val="24"/>
          <w:szCs w:val="24"/>
        </w:rPr>
        <w:t>Mindful of this factual observation the applicant believes that his only hope lies in a Judicial Review</w:t>
      </w:r>
      <w:r w:rsidR="00467EC3" w:rsidRPr="006B178B">
        <w:rPr>
          <w:rFonts w:ascii="Times New Roman" w:hAnsi="Times New Roman" w:cs="Times New Roman"/>
          <w:sz w:val="24"/>
          <w:szCs w:val="24"/>
        </w:rPr>
        <w:t>,</w:t>
      </w:r>
      <w:r w:rsidRPr="006B178B">
        <w:rPr>
          <w:rFonts w:ascii="Times New Roman" w:hAnsi="Times New Roman" w:cs="Times New Roman"/>
          <w:sz w:val="24"/>
          <w:szCs w:val="24"/>
        </w:rPr>
        <w:t xml:space="preserve"> but wishes to show that he has exhausted all attempt to get fair justice.</w:t>
      </w:r>
    </w:p>
    <w:p w:rsidR="00A30933" w:rsidRPr="006B178B" w:rsidRDefault="00A30933" w:rsidP="000A4E91">
      <w:pPr>
        <w:pStyle w:val="ListParagraph"/>
        <w:ind w:hanging="720"/>
        <w:rPr>
          <w:rFonts w:ascii="Times New Roman" w:hAnsi="Times New Roman" w:cs="Times New Roman"/>
          <w:sz w:val="24"/>
          <w:szCs w:val="24"/>
        </w:rPr>
      </w:pPr>
    </w:p>
    <w:p w:rsidR="00A30933" w:rsidRPr="006B178B" w:rsidRDefault="0062131B" w:rsidP="000A4E91">
      <w:pPr>
        <w:pStyle w:val="ListParagraph"/>
        <w:numPr>
          <w:ilvl w:val="0"/>
          <w:numId w:val="1"/>
        </w:numPr>
        <w:ind w:hanging="720"/>
        <w:rPr>
          <w:rFonts w:ascii="Times New Roman" w:hAnsi="Times New Roman" w:cs="Times New Roman"/>
          <w:sz w:val="24"/>
          <w:szCs w:val="24"/>
          <w:u w:val="single"/>
        </w:rPr>
      </w:pPr>
      <w:r w:rsidRPr="006B178B">
        <w:rPr>
          <w:rFonts w:ascii="Times New Roman" w:hAnsi="Times New Roman" w:cs="Times New Roman"/>
          <w:sz w:val="24"/>
          <w:szCs w:val="24"/>
        </w:rPr>
        <w:t>P</w:t>
      </w:r>
      <w:r w:rsidR="00B024BD" w:rsidRPr="006B178B">
        <w:rPr>
          <w:rFonts w:ascii="Times New Roman" w:hAnsi="Times New Roman" w:cs="Times New Roman"/>
          <w:sz w:val="24"/>
          <w:szCs w:val="24"/>
        </w:rPr>
        <w:t xml:space="preserve">ertinent </w:t>
      </w:r>
      <w:r w:rsidRPr="006B178B">
        <w:rPr>
          <w:rFonts w:ascii="Times New Roman" w:hAnsi="Times New Roman" w:cs="Times New Roman"/>
          <w:sz w:val="24"/>
          <w:szCs w:val="24"/>
        </w:rPr>
        <w:t xml:space="preserve">and relevant </w:t>
      </w:r>
      <w:r w:rsidR="00B024BD" w:rsidRPr="006B178B">
        <w:rPr>
          <w:rFonts w:ascii="Times New Roman" w:hAnsi="Times New Roman" w:cs="Times New Roman"/>
          <w:sz w:val="24"/>
          <w:szCs w:val="24"/>
        </w:rPr>
        <w:t>documents have been published on the following webpage</w:t>
      </w:r>
      <w:r w:rsidR="008D5FBF" w:rsidRPr="006B178B">
        <w:rPr>
          <w:rFonts w:ascii="Times New Roman" w:hAnsi="Times New Roman" w:cs="Times New Roman"/>
          <w:sz w:val="24"/>
          <w:szCs w:val="24"/>
        </w:rPr>
        <w:t>s</w:t>
      </w:r>
      <w:r w:rsidR="00B024BD" w:rsidRPr="006B178B">
        <w:rPr>
          <w:rFonts w:ascii="Times New Roman" w:hAnsi="Times New Roman" w:cs="Times New Roman"/>
          <w:sz w:val="24"/>
          <w:szCs w:val="24"/>
        </w:rPr>
        <w:t>:</w:t>
      </w:r>
    </w:p>
    <w:p w:rsidR="00361AFE" w:rsidRPr="006B178B" w:rsidRDefault="00361AFE" w:rsidP="00A30933">
      <w:pPr>
        <w:pStyle w:val="ListParagraph"/>
        <w:rPr>
          <w:rFonts w:ascii="Times New Roman" w:hAnsi="Times New Roman" w:cs="Times New Roman"/>
        </w:rPr>
      </w:pPr>
    </w:p>
    <w:p w:rsidR="00A30933" w:rsidRPr="006B178B" w:rsidRDefault="00DA30D3" w:rsidP="00A30933">
      <w:pPr>
        <w:pStyle w:val="ListParagraph"/>
        <w:rPr>
          <w:rStyle w:val="Hyperlink"/>
          <w:rFonts w:ascii="Times New Roman" w:hAnsi="Times New Roman" w:cs="Times New Roman"/>
          <w:sz w:val="24"/>
          <w:szCs w:val="24"/>
        </w:rPr>
      </w:pPr>
      <w:hyperlink w:history="1">
        <w:r w:rsidR="001E0D59" w:rsidRPr="006B178B">
          <w:rPr>
            <w:rStyle w:val="Hyperlink"/>
            <w:rFonts w:ascii="Times New Roman" w:hAnsi="Times New Roman" w:cs="Times New Roman"/>
            <w:sz w:val="24"/>
            <w:szCs w:val="24"/>
          </w:rPr>
          <w:t>www.racisminopp.org/michael_documents_tribunal.html</w:t>
        </w:r>
      </w:hyperlink>
    </w:p>
    <w:p w:rsidR="00111D16" w:rsidRPr="006B178B" w:rsidRDefault="00DA30D3" w:rsidP="00111D16">
      <w:pPr>
        <w:pStyle w:val="ListParagraph"/>
        <w:rPr>
          <w:rFonts w:ascii="Times New Roman" w:hAnsi="Times New Roman" w:cs="Times New Roman"/>
          <w:sz w:val="24"/>
          <w:szCs w:val="24"/>
        </w:rPr>
      </w:pPr>
      <w:hyperlink w:history="1">
        <w:r w:rsidR="001E0D59" w:rsidRPr="006B178B">
          <w:rPr>
            <w:rStyle w:val="Hyperlink"/>
            <w:rFonts w:ascii="Times New Roman" w:hAnsi="Times New Roman" w:cs="Times New Roman"/>
            <w:sz w:val="24"/>
            <w:szCs w:val="24"/>
          </w:rPr>
          <w:t>www.racisminopp.org/michael_documents_personal.html</w:t>
        </w:r>
      </w:hyperlink>
      <w:r w:rsidR="0062131B" w:rsidRPr="006B178B">
        <w:rPr>
          <w:rFonts w:ascii="Times New Roman" w:hAnsi="Times New Roman" w:cs="Times New Roman"/>
          <w:sz w:val="24"/>
          <w:szCs w:val="24"/>
        </w:rPr>
        <w:t xml:space="preserve"> </w:t>
      </w:r>
    </w:p>
    <w:p w:rsidR="00361AFE" w:rsidRPr="006B178B" w:rsidRDefault="00361AFE" w:rsidP="008573D0">
      <w:pPr>
        <w:ind w:left="360"/>
        <w:rPr>
          <w:rFonts w:ascii="Times New Roman" w:hAnsi="Times New Roman" w:cs="Times New Roman"/>
          <w:sz w:val="24"/>
          <w:szCs w:val="24"/>
        </w:rPr>
      </w:pPr>
    </w:p>
    <w:p w:rsidR="008573D0" w:rsidRPr="006B178B" w:rsidRDefault="0062131B" w:rsidP="00871AD5">
      <w:pPr>
        <w:rPr>
          <w:rFonts w:ascii="Times New Roman" w:hAnsi="Times New Roman" w:cs="Times New Roman"/>
          <w:sz w:val="24"/>
          <w:szCs w:val="24"/>
        </w:rPr>
      </w:pPr>
      <w:r w:rsidRPr="006B178B">
        <w:rPr>
          <w:rFonts w:ascii="Times New Roman" w:hAnsi="Times New Roman" w:cs="Times New Roman"/>
          <w:sz w:val="24"/>
          <w:szCs w:val="24"/>
        </w:rPr>
        <w:t xml:space="preserve">Respectfully submitted this </w:t>
      </w:r>
      <w:r w:rsidR="005B0E07" w:rsidRPr="006B178B">
        <w:rPr>
          <w:rFonts w:ascii="Times New Roman" w:hAnsi="Times New Roman" w:cs="Times New Roman"/>
          <w:sz w:val="24"/>
          <w:szCs w:val="24"/>
        </w:rPr>
        <w:t>1st</w:t>
      </w:r>
      <w:r w:rsidRPr="006B178B">
        <w:rPr>
          <w:rFonts w:ascii="Times New Roman" w:hAnsi="Times New Roman" w:cs="Times New Roman"/>
          <w:sz w:val="24"/>
          <w:szCs w:val="24"/>
        </w:rPr>
        <w:t xml:space="preserve"> day of March, 2018 (electronically)</w:t>
      </w:r>
    </w:p>
    <w:p w:rsidR="00871AD5" w:rsidRPr="006B178B" w:rsidRDefault="00871AD5" w:rsidP="00871AD5">
      <w:pPr>
        <w:rPr>
          <w:rFonts w:ascii="Times New Roman" w:hAnsi="Times New Roman" w:cs="Times New Roman"/>
          <w:sz w:val="24"/>
          <w:szCs w:val="24"/>
        </w:rPr>
      </w:pPr>
    </w:p>
    <w:p w:rsidR="00871AD5" w:rsidRPr="006B178B" w:rsidRDefault="00871AD5" w:rsidP="00871AD5">
      <w:pPr>
        <w:rPr>
          <w:rFonts w:ascii="Times New Roman" w:hAnsi="Times New Roman" w:cs="Times New Roman"/>
          <w:sz w:val="24"/>
          <w:szCs w:val="24"/>
        </w:rPr>
      </w:pPr>
    </w:p>
    <w:p w:rsidR="0038656C" w:rsidRPr="006B178B" w:rsidRDefault="0062131B" w:rsidP="00871AD5">
      <w:pPr>
        <w:rPr>
          <w:rFonts w:ascii="Times New Roman" w:hAnsi="Times New Roman" w:cs="Times New Roman"/>
          <w:sz w:val="24"/>
          <w:szCs w:val="24"/>
        </w:rPr>
      </w:pPr>
      <w:r w:rsidRPr="006B178B">
        <w:rPr>
          <w:rFonts w:ascii="Times New Roman" w:hAnsi="Times New Roman" w:cs="Times New Roman"/>
          <w:sz w:val="24"/>
          <w:szCs w:val="24"/>
        </w:rPr>
        <w:t xml:space="preserve">Lloyd </w:t>
      </w:r>
      <w:proofErr w:type="spellStart"/>
      <w:r w:rsidRPr="006B178B">
        <w:rPr>
          <w:rFonts w:ascii="Times New Roman" w:hAnsi="Times New Roman" w:cs="Times New Roman"/>
          <w:sz w:val="24"/>
          <w:szCs w:val="24"/>
        </w:rPr>
        <w:t>Tapp</w:t>
      </w:r>
      <w:proofErr w:type="spellEnd"/>
      <w:r w:rsidRPr="006B178B">
        <w:rPr>
          <w:rFonts w:ascii="Times New Roman" w:hAnsi="Times New Roman" w:cs="Times New Roman"/>
          <w:sz w:val="24"/>
          <w:szCs w:val="24"/>
        </w:rPr>
        <w:t xml:space="preserve"> for </w:t>
      </w:r>
      <w:r w:rsidRPr="006B178B">
        <w:rPr>
          <w:rFonts w:ascii="Times New Roman" w:hAnsi="Times New Roman" w:cs="Times New Roman"/>
          <w:sz w:val="24"/>
          <w:szCs w:val="24"/>
        </w:rPr>
        <w:tab/>
      </w:r>
      <w:r w:rsidRPr="006B178B">
        <w:rPr>
          <w:rFonts w:ascii="Times New Roman" w:hAnsi="Times New Roman" w:cs="Times New Roman"/>
          <w:sz w:val="24"/>
          <w:szCs w:val="24"/>
        </w:rPr>
        <w:tab/>
      </w:r>
      <w:r w:rsidRPr="006B178B">
        <w:rPr>
          <w:rFonts w:ascii="Times New Roman" w:hAnsi="Times New Roman" w:cs="Times New Roman"/>
          <w:sz w:val="24"/>
          <w:szCs w:val="24"/>
        </w:rPr>
        <w:tab/>
      </w:r>
      <w:r w:rsidRPr="006B178B">
        <w:rPr>
          <w:rFonts w:ascii="Times New Roman" w:hAnsi="Times New Roman" w:cs="Times New Roman"/>
          <w:sz w:val="24"/>
          <w:szCs w:val="24"/>
        </w:rPr>
        <w:tab/>
      </w:r>
      <w:r w:rsidRPr="006B178B">
        <w:rPr>
          <w:rFonts w:ascii="Times New Roman" w:hAnsi="Times New Roman" w:cs="Times New Roman"/>
          <w:sz w:val="24"/>
          <w:szCs w:val="24"/>
        </w:rPr>
        <w:tab/>
      </w:r>
      <w:r w:rsidRPr="006B178B">
        <w:rPr>
          <w:rFonts w:ascii="Times New Roman" w:hAnsi="Times New Roman" w:cs="Times New Roman"/>
          <w:sz w:val="24"/>
          <w:szCs w:val="24"/>
        </w:rPr>
        <w:tab/>
      </w:r>
      <w:r w:rsidRPr="006B178B">
        <w:rPr>
          <w:rFonts w:ascii="Times New Roman" w:hAnsi="Times New Roman" w:cs="Times New Roman"/>
          <w:sz w:val="24"/>
          <w:szCs w:val="24"/>
        </w:rPr>
        <w:tab/>
      </w:r>
      <w:r w:rsidRPr="006B178B">
        <w:rPr>
          <w:rFonts w:ascii="Times New Roman" w:hAnsi="Times New Roman" w:cs="Times New Roman"/>
          <w:sz w:val="24"/>
          <w:szCs w:val="24"/>
        </w:rPr>
        <w:tab/>
      </w:r>
      <w:r w:rsidRPr="006B178B">
        <w:rPr>
          <w:rFonts w:ascii="Times New Roman" w:hAnsi="Times New Roman" w:cs="Times New Roman"/>
          <w:sz w:val="24"/>
          <w:szCs w:val="24"/>
        </w:rPr>
        <w:tab/>
      </w:r>
      <w:r w:rsidRPr="006B178B">
        <w:rPr>
          <w:rFonts w:ascii="Times New Roman" w:hAnsi="Times New Roman" w:cs="Times New Roman"/>
          <w:sz w:val="24"/>
          <w:szCs w:val="24"/>
        </w:rPr>
        <w:tab/>
        <w:t xml:space="preserve">        Michael Jack</w:t>
      </w:r>
    </w:p>
    <w:sectPr w:rsidR="0038656C" w:rsidRPr="006B178B" w:rsidSect="00086174">
      <w:headerReference w:type="even" r:id="rId9"/>
      <w:headerReference w:type="default" r:id="rId10"/>
      <w:footerReference w:type="even" r:id="rId11"/>
      <w:footerReference w:type="default" r:id="rId12"/>
      <w:headerReference w:type="first" r:id="rId13"/>
      <w:footerReference w:type="first" r:id="rId14"/>
      <w:pgSz w:w="12240" w:h="15840" w:code="1"/>
      <w:pgMar w:top="1310" w:right="1310" w:bottom="1310" w:left="13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0D3" w:rsidRDefault="00DA30D3">
      <w:pPr>
        <w:spacing w:after="0" w:line="240" w:lineRule="auto"/>
      </w:pPr>
      <w:r>
        <w:separator/>
      </w:r>
    </w:p>
  </w:endnote>
  <w:endnote w:type="continuationSeparator" w:id="0">
    <w:p w:rsidR="00DA30D3" w:rsidRDefault="00DA3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31B" w:rsidRDefault="006213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31B" w:rsidRDefault="006213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31B" w:rsidRDefault="006213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0D3" w:rsidRDefault="00DA30D3" w:rsidP="00C77D18">
      <w:pPr>
        <w:spacing w:after="0" w:line="240" w:lineRule="auto"/>
      </w:pPr>
      <w:r>
        <w:separator/>
      </w:r>
    </w:p>
  </w:footnote>
  <w:footnote w:type="continuationSeparator" w:id="0">
    <w:p w:rsidR="00DA30D3" w:rsidRDefault="00DA30D3" w:rsidP="00C77D18">
      <w:pPr>
        <w:spacing w:after="0" w:line="240" w:lineRule="auto"/>
      </w:pPr>
      <w:r>
        <w:continuationSeparator/>
      </w:r>
    </w:p>
  </w:footnote>
  <w:footnote w:id="1">
    <w:p w:rsidR="0062131B" w:rsidRPr="001F251B" w:rsidRDefault="0062131B" w:rsidP="005C0E47">
      <w:pPr>
        <w:pStyle w:val="FootnoteText"/>
      </w:pPr>
      <w:r w:rsidRPr="001F251B">
        <w:rPr>
          <w:rStyle w:val="FootnoteReference"/>
        </w:rPr>
        <w:footnoteRef/>
      </w:r>
      <w:r w:rsidRPr="001F251B">
        <w:t xml:space="preserve"> </w:t>
      </w:r>
      <w:hyperlink w:history="1">
        <w:r w:rsidRPr="001F251B">
          <w:rPr>
            <w:rStyle w:val="Hyperlink"/>
          </w:rPr>
          <w:t>www.racisminopp.org/michael_documents_tribunal.html#32</w:t>
        </w:r>
      </w:hyperlink>
    </w:p>
  </w:footnote>
  <w:footnote w:id="2">
    <w:p w:rsidR="0062131B" w:rsidRPr="001F251B" w:rsidRDefault="0062131B">
      <w:pPr>
        <w:pStyle w:val="FootnoteText"/>
      </w:pPr>
      <w:r w:rsidRPr="001F251B">
        <w:rPr>
          <w:rStyle w:val="FootnoteReference"/>
        </w:rPr>
        <w:footnoteRef/>
      </w:r>
      <w:r w:rsidRPr="001F251B">
        <w:t xml:space="preserve"> </w:t>
      </w:r>
      <w:proofErr w:type="spellStart"/>
      <w:r w:rsidR="002C72A0" w:rsidRPr="002C72A0">
        <w:rPr>
          <w:i/>
        </w:rPr>
        <w:t>Audmax</w:t>
      </w:r>
      <w:proofErr w:type="spellEnd"/>
      <w:r w:rsidR="002C72A0" w:rsidRPr="002C72A0">
        <w:rPr>
          <w:i/>
        </w:rPr>
        <w:t xml:space="preserve"> Inc. v. Ontario Human Rights Tribunal</w:t>
      </w:r>
      <w:r w:rsidR="002C72A0" w:rsidRPr="002C72A0">
        <w:t>, 2011 ONSC 315</w:t>
      </w:r>
    </w:p>
  </w:footnote>
  <w:footnote w:id="3">
    <w:p w:rsidR="0062131B" w:rsidRPr="001F251B" w:rsidRDefault="0062131B" w:rsidP="002A3A49">
      <w:pPr>
        <w:pStyle w:val="FootnoteText"/>
      </w:pPr>
      <w:r w:rsidRPr="001F251B">
        <w:rPr>
          <w:rStyle w:val="FootnoteReference"/>
        </w:rPr>
        <w:footnoteRef/>
      </w:r>
      <w:r w:rsidRPr="001F251B">
        <w:t xml:space="preserve"> Closing submissions of the applicant, 6-Dec-16, para: 49</w:t>
      </w:r>
      <w:r>
        <w:t>-</w:t>
      </w:r>
      <w:r w:rsidRPr="001F251B">
        <w:t>59</w:t>
      </w:r>
    </w:p>
  </w:footnote>
  <w:footnote w:id="4">
    <w:p w:rsidR="0062131B" w:rsidRDefault="0062131B" w:rsidP="003D6B5C">
      <w:pPr>
        <w:pStyle w:val="FootnoteText"/>
      </w:pPr>
      <w:r>
        <w:rPr>
          <w:rStyle w:val="FootnoteReference"/>
        </w:rPr>
        <w:footnoteRef/>
      </w:r>
      <w:r>
        <w:t xml:space="preserve"> Testimony of applicant, Exhibit 92, pg. 41, para: 4.</w:t>
      </w:r>
    </w:p>
  </w:footnote>
  <w:footnote w:id="5">
    <w:p w:rsidR="0062131B" w:rsidRPr="001F251B" w:rsidRDefault="0062131B" w:rsidP="005A2D81">
      <w:pPr>
        <w:pStyle w:val="FootnoteText"/>
      </w:pPr>
      <w:r w:rsidRPr="001F251B">
        <w:rPr>
          <w:rStyle w:val="FootnoteReference"/>
        </w:rPr>
        <w:footnoteRef/>
      </w:r>
      <w:r w:rsidRPr="001F251B">
        <w:t xml:space="preserve"> Closing submissions of the applicant, 6-Dec-16, para: 130</w:t>
      </w:r>
    </w:p>
  </w:footnote>
  <w:footnote w:id="6">
    <w:p w:rsidR="0062131B" w:rsidRPr="001F251B" w:rsidRDefault="0062131B">
      <w:pPr>
        <w:pStyle w:val="FootnoteText"/>
      </w:pPr>
      <w:r w:rsidRPr="001F251B">
        <w:rPr>
          <w:rStyle w:val="FootnoteReference"/>
        </w:rPr>
        <w:footnoteRef/>
      </w:r>
      <w:r w:rsidRPr="001F251B">
        <w:t xml:space="preserve"> Closing submissions of the applicant, 6-Dec-16, para: 52</w:t>
      </w:r>
    </w:p>
  </w:footnote>
  <w:footnote w:id="7">
    <w:p w:rsidR="0062131B" w:rsidRPr="001F251B" w:rsidRDefault="0062131B" w:rsidP="00860D4D">
      <w:pPr>
        <w:pStyle w:val="FootnoteText"/>
      </w:pPr>
      <w:r w:rsidRPr="001F251B">
        <w:rPr>
          <w:rStyle w:val="FootnoteReference"/>
        </w:rPr>
        <w:footnoteRef/>
      </w:r>
      <w:r w:rsidRPr="001F251B">
        <w:t xml:space="preserve"> Closing submissions of the applicant, para: 130</w:t>
      </w:r>
    </w:p>
  </w:footnote>
  <w:footnote w:id="8">
    <w:p w:rsidR="0062131B" w:rsidRPr="001F251B" w:rsidRDefault="0062131B" w:rsidP="009247A7">
      <w:pPr>
        <w:pStyle w:val="FootnoteText"/>
      </w:pPr>
      <w:r w:rsidRPr="001F251B">
        <w:rPr>
          <w:rStyle w:val="FootnoteReference"/>
        </w:rPr>
        <w:footnoteRef/>
      </w:r>
      <w:r w:rsidRPr="001F251B">
        <w:t xml:space="preserve"> Exhibits 102, 192</w:t>
      </w:r>
    </w:p>
  </w:footnote>
  <w:footnote w:id="9">
    <w:p w:rsidR="0062131B" w:rsidRDefault="0062131B">
      <w:pPr>
        <w:pStyle w:val="FootnoteText"/>
      </w:pPr>
      <w:r>
        <w:rPr>
          <w:rStyle w:val="FootnoteReference"/>
        </w:rPr>
        <w:footnoteRef/>
      </w:r>
      <w:r>
        <w:t xml:space="preserve"> Exhibits 46, 132</w:t>
      </w:r>
    </w:p>
  </w:footnote>
  <w:footnote w:id="10">
    <w:p w:rsidR="0062131B" w:rsidRDefault="0062131B" w:rsidP="004348B5">
      <w:pPr>
        <w:pStyle w:val="FootnoteText"/>
      </w:pPr>
      <w:r w:rsidRPr="001F251B">
        <w:rPr>
          <w:rStyle w:val="FootnoteReference"/>
        </w:rPr>
        <w:footnoteRef/>
      </w:r>
      <w:r w:rsidRPr="001F251B">
        <w:t xml:space="preserve"> Closing submissions of the applicant, para:</w:t>
      </w:r>
      <w:r>
        <w:t xml:space="preserve"> 56; A</w:t>
      </w:r>
      <w:r w:rsidRPr="001F251B">
        <w:t xml:space="preserve">pplicant’s reply to closing submissions of the respondent, </w:t>
      </w:r>
    </w:p>
    <w:p w:rsidR="0062131B" w:rsidRPr="001F251B" w:rsidRDefault="0062131B" w:rsidP="00674EE8">
      <w:pPr>
        <w:pStyle w:val="FootnoteText"/>
      </w:pPr>
      <w:r w:rsidRPr="001F251B">
        <w:t xml:space="preserve">para: </w:t>
      </w:r>
      <w:r>
        <w:t>89-</w:t>
      </w:r>
      <w:r w:rsidRPr="001F251B">
        <w:t>105 (</w:t>
      </w:r>
      <w:hyperlink w:history="1">
        <w:r w:rsidRPr="001F251B">
          <w:rPr>
            <w:rStyle w:val="Hyperlink"/>
          </w:rPr>
          <w:t>www.racisminopp.org/michael_documents_tribunal.html#34</w:t>
        </w:r>
      </w:hyperlink>
      <w:r w:rsidRPr="001F251B">
        <w:t>)</w:t>
      </w:r>
    </w:p>
  </w:footnote>
  <w:footnote w:id="11">
    <w:p w:rsidR="0062131B" w:rsidRPr="001F251B" w:rsidRDefault="0062131B" w:rsidP="002A3A49">
      <w:pPr>
        <w:pStyle w:val="FootnoteText"/>
      </w:pPr>
      <w:r w:rsidRPr="001F251B">
        <w:rPr>
          <w:rStyle w:val="FootnoteReference"/>
        </w:rPr>
        <w:footnoteRef/>
      </w:r>
      <w:r w:rsidRPr="001F251B">
        <w:t xml:space="preserve"> Applicant’s reply to closing submissions of the respondent, para: 106</w:t>
      </w:r>
      <w:r>
        <w:t>-</w:t>
      </w:r>
      <w:r w:rsidRPr="001F251B">
        <w:t>112</w:t>
      </w:r>
    </w:p>
  </w:footnote>
  <w:footnote w:id="12">
    <w:p w:rsidR="001A7FE0" w:rsidRDefault="001A7FE0">
      <w:pPr>
        <w:pStyle w:val="FootnoteText"/>
      </w:pPr>
      <w:r>
        <w:rPr>
          <w:rStyle w:val="FootnoteReference"/>
        </w:rPr>
        <w:footnoteRef/>
      </w:r>
      <w:r>
        <w:t xml:space="preserve"> </w:t>
      </w:r>
      <w:proofErr w:type="gramStart"/>
      <w:r w:rsidRPr="001A7FE0">
        <w:rPr>
          <w:i/>
        </w:rPr>
        <w:t>British Columbia (Public Service Employee Relations Commission) v. BCGSEU</w:t>
      </w:r>
      <w:r w:rsidRPr="001A7FE0">
        <w:t>, [1999] 3 SCR 3, 1999, para.</w:t>
      </w:r>
      <w:proofErr w:type="gramEnd"/>
      <w:r w:rsidRPr="001A7FE0">
        <w:t xml:space="preserve"> 1</w:t>
      </w:r>
      <w:r w:rsidR="00D317A1">
        <w:t>8</w:t>
      </w:r>
    </w:p>
  </w:footnote>
  <w:footnote w:id="13">
    <w:p w:rsidR="006A1479" w:rsidRDefault="006A1479">
      <w:pPr>
        <w:pStyle w:val="FootnoteText"/>
      </w:pPr>
      <w:r>
        <w:rPr>
          <w:rStyle w:val="FootnoteReference"/>
        </w:rPr>
        <w:footnoteRef/>
      </w:r>
      <w:r>
        <w:t xml:space="preserve"> </w:t>
      </w:r>
      <w:proofErr w:type="gramStart"/>
      <w:r>
        <w:t>Closing submission of the applicant 6 Dec 2016, para.</w:t>
      </w:r>
      <w:proofErr w:type="gramEnd"/>
      <w:r>
        <w:t xml:space="preserve"> 15 to 33</w:t>
      </w:r>
    </w:p>
  </w:footnote>
  <w:footnote w:id="14">
    <w:p w:rsidR="001A7FE0" w:rsidRDefault="001A7FE0">
      <w:pPr>
        <w:pStyle w:val="FootnoteText"/>
      </w:pPr>
      <w:r>
        <w:rPr>
          <w:rStyle w:val="FootnoteReference"/>
        </w:rPr>
        <w:footnoteRef/>
      </w:r>
      <w:r>
        <w:t xml:space="preserve"> Ibid</w:t>
      </w:r>
    </w:p>
  </w:footnote>
  <w:footnote w:id="15">
    <w:p w:rsidR="001A7FE0" w:rsidRDefault="001A7FE0">
      <w:pPr>
        <w:pStyle w:val="FootnoteText"/>
      </w:pPr>
      <w:r>
        <w:rPr>
          <w:rStyle w:val="FootnoteReference"/>
        </w:rPr>
        <w:footnoteRef/>
      </w:r>
      <w:r>
        <w:t xml:space="preserve"> Closing submission of the applicant 6 Dec 2016, email from Flindall to Campbell and Campbell’s response</w:t>
      </w:r>
    </w:p>
  </w:footnote>
  <w:footnote w:id="16">
    <w:p w:rsidR="00B92FF7" w:rsidRDefault="00B92FF7">
      <w:pPr>
        <w:pStyle w:val="FootnoteText"/>
      </w:pPr>
      <w:r>
        <w:rPr>
          <w:rStyle w:val="FootnoteReference"/>
        </w:rPr>
        <w:footnoteRef/>
      </w:r>
      <w:r>
        <w:t xml:space="preserve"> </w:t>
      </w:r>
      <w:proofErr w:type="gramStart"/>
      <w:r>
        <w:t>Closing submissions of the applicant 6 Dec 2016, para.</w:t>
      </w:r>
      <w:proofErr w:type="gramEnd"/>
      <w:r>
        <w:t xml:space="preserve"> 25</w:t>
      </w:r>
    </w:p>
  </w:footnote>
  <w:footnote w:id="17">
    <w:p w:rsidR="00D317A1" w:rsidRDefault="00D317A1">
      <w:pPr>
        <w:pStyle w:val="FootnoteText"/>
      </w:pPr>
      <w:r>
        <w:rPr>
          <w:rStyle w:val="FootnoteReference"/>
        </w:rPr>
        <w:footnoteRef/>
      </w:r>
      <w:r>
        <w:t xml:space="preserve"> </w:t>
      </w:r>
      <w:proofErr w:type="gramStart"/>
      <w:r w:rsidRPr="002C72A0">
        <w:rPr>
          <w:i/>
        </w:rPr>
        <w:t>British Columbia (Public Service Employee Relations Commission) v. BCGSEU</w:t>
      </w:r>
      <w:r w:rsidRPr="00D317A1">
        <w:t>, [1999] 3 SCR 3, 1999, para.</w:t>
      </w:r>
      <w:proofErr w:type="gramEnd"/>
      <w:r w:rsidRPr="00D317A1">
        <w:t xml:space="preserve"> 1</w:t>
      </w:r>
      <w:r>
        <w:t>8</w:t>
      </w:r>
    </w:p>
  </w:footnote>
  <w:footnote w:id="18">
    <w:p w:rsidR="000C2138" w:rsidRDefault="000C2138">
      <w:pPr>
        <w:pStyle w:val="FootnoteText"/>
      </w:pPr>
      <w:r>
        <w:rPr>
          <w:rStyle w:val="FootnoteReference"/>
        </w:rPr>
        <w:footnoteRef/>
      </w:r>
      <w:r>
        <w:t xml:space="preserve"> </w:t>
      </w:r>
      <w:proofErr w:type="gramStart"/>
      <w:r>
        <w:t>Ibid, para.</w:t>
      </w:r>
      <w:proofErr w:type="gramEnd"/>
      <w:r>
        <w:t xml:space="preserve"> 20 to 24</w:t>
      </w:r>
    </w:p>
  </w:footnote>
  <w:footnote w:id="19">
    <w:p w:rsidR="00700FBC" w:rsidRDefault="00700FBC">
      <w:pPr>
        <w:pStyle w:val="FootnoteText"/>
      </w:pPr>
      <w:r>
        <w:rPr>
          <w:rStyle w:val="FootnoteReference"/>
        </w:rPr>
        <w:footnoteRef/>
      </w:r>
      <w:r>
        <w:t xml:space="preserve"> </w:t>
      </w:r>
      <w:r w:rsidR="00F102D1" w:rsidRPr="00F102D1">
        <w:rPr>
          <w:i/>
        </w:rPr>
        <w:t>Thwaites v. Canadian Armed Forces</w:t>
      </w:r>
      <w:r w:rsidR="00F102D1" w:rsidRPr="00F102D1">
        <w:t>, 1993 342 (CHRT)</w:t>
      </w:r>
      <w:r w:rsidR="00F102D1">
        <w:t>, p. D/282 (p. 23)</w:t>
      </w:r>
    </w:p>
  </w:footnote>
  <w:footnote w:id="20">
    <w:p w:rsidR="0062131B" w:rsidRPr="001F251B" w:rsidRDefault="0062131B" w:rsidP="0046522E">
      <w:pPr>
        <w:pStyle w:val="FootnoteText"/>
      </w:pPr>
      <w:r w:rsidRPr="001F251B">
        <w:rPr>
          <w:rStyle w:val="FootnoteReference"/>
        </w:rPr>
        <w:footnoteRef/>
      </w:r>
      <w:r w:rsidRPr="001F251B">
        <w:t xml:space="preserve"> Closing submissions of the applicant, para</w:t>
      </w:r>
      <w:r>
        <w:t>:</w:t>
      </w:r>
      <w:r w:rsidRPr="001F251B">
        <w:t xml:space="preserve"> 95 (</w:t>
      </w:r>
      <w:r w:rsidRPr="001F251B">
        <w:rPr>
          <w:rFonts w:cstheme="minorHAnsi"/>
        </w:rPr>
        <w:t>Exhibits 99, 155)</w:t>
      </w:r>
    </w:p>
  </w:footnote>
  <w:footnote w:id="21">
    <w:p w:rsidR="0062131B" w:rsidRPr="001F251B" w:rsidRDefault="0062131B" w:rsidP="00F91243">
      <w:pPr>
        <w:pStyle w:val="FootnoteText"/>
      </w:pPr>
      <w:r w:rsidRPr="001F251B">
        <w:rPr>
          <w:rStyle w:val="FootnoteReference"/>
        </w:rPr>
        <w:footnoteRef/>
      </w:r>
      <w:r w:rsidRPr="001F251B">
        <w:t xml:space="preserve"> Closing submissio</w:t>
      </w:r>
      <w:r>
        <w:t>ns of the applicant, para: 79-</w:t>
      </w:r>
      <w:r w:rsidRPr="001F251B">
        <w:t xml:space="preserve">81, </w:t>
      </w:r>
    </w:p>
  </w:footnote>
  <w:footnote w:id="22">
    <w:p w:rsidR="0062131B" w:rsidRPr="001F251B" w:rsidRDefault="0062131B" w:rsidP="00F91243">
      <w:pPr>
        <w:pStyle w:val="FootnoteText"/>
      </w:pPr>
      <w:r w:rsidRPr="001F251B">
        <w:rPr>
          <w:rStyle w:val="FootnoteReference"/>
        </w:rPr>
        <w:footnoteRef/>
      </w:r>
      <w:r w:rsidRPr="001F251B">
        <w:t xml:space="preserve"> Closing submissions of the applicant, para: 104 (bullet points 9-10)</w:t>
      </w:r>
    </w:p>
  </w:footnote>
  <w:footnote w:id="23">
    <w:p w:rsidR="0062131B" w:rsidRPr="001F251B" w:rsidRDefault="0062131B" w:rsidP="00F91243">
      <w:pPr>
        <w:pStyle w:val="FootnoteText"/>
      </w:pPr>
      <w:r w:rsidRPr="001F251B">
        <w:rPr>
          <w:rStyle w:val="FootnoteReference"/>
        </w:rPr>
        <w:footnoteRef/>
      </w:r>
      <w:r w:rsidRPr="001F251B">
        <w:t xml:space="preserve"> Closing submissions of the applicant, para: 87, 104</w:t>
      </w:r>
    </w:p>
  </w:footnote>
  <w:footnote w:id="24">
    <w:p w:rsidR="0062131B" w:rsidRPr="001F251B" w:rsidRDefault="0062131B" w:rsidP="00334D13">
      <w:pPr>
        <w:pStyle w:val="FootnoteText"/>
      </w:pPr>
      <w:r w:rsidRPr="001F251B">
        <w:rPr>
          <w:rStyle w:val="FootnoteReference"/>
        </w:rPr>
        <w:footnoteRef/>
      </w:r>
      <w:r w:rsidRPr="001F251B">
        <w:t xml:space="preserve"> Closing submissions of the applicant, para: 64, 88</w:t>
      </w:r>
    </w:p>
  </w:footnote>
  <w:footnote w:id="25">
    <w:p w:rsidR="0062131B" w:rsidRPr="001F251B" w:rsidRDefault="0062131B" w:rsidP="00FA1821">
      <w:pPr>
        <w:pStyle w:val="FootnoteText"/>
      </w:pPr>
      <w:r w:rsidRPr="001F251B">
        <w:rPr>
          <w:rStyle w:val="FootnoteReference"/>
        </w:rPr>
        <w:footnoteRef/>
      </w:r>
      <w:r w:rsidRPr="001F251B">
        <w:t xml:space="preserve"> Closing submissions of the applicant, para: 123, (Testimony of Nie, </w:t>
      </w:r>
      <w:r w:rsidRPr="001F251B">
        <w:rPr>
          <w:rFonts w:cstheme="minorHAnsi"/>
        </w:rPr>
        <w:t>15-Sep-16 pgs. 168-170)</w:t>
      </w:r>
    </w:p>
  </w:footnote>
  <w:footnote w:id="26">
    <w:p w:rsidR="0062131B" w:rsidRDefault="0062131B">
      <w:pPr>
        <w:pStyle w:val="FootnoteText"/>
      </w:pPr>
      <w:r>
        <w:rPr>
          <w:rStyle w:val="FootnoteReference"/>
        </w:rPr>
        <w:footnoteRef/>
      </w:r>
      <w:r>
        <w:t xml:space="preserve"> </w:t>
      </w:r>
      <w:r w:rsidRPr="00024F3A">
        <w:t>Exhibit 143</w:t>
      </w:r>
    </w:p>
  </w:footnote>
  <w:footnote w:id="27">
    <w:p w:rsidR="0062131B" w:rsidRDefault="0062131B" w:rsidP="00010A87">
      <w:pPr>
        <w:pStyle w:val="FootnoteText"/>
      </w:pPr>
      <w:r>
        <w:rPr>
          <w:rStyle w:val="FootnoteReference"/>
        </w:rPr>
        <w:footnoteRef/>
      </w:r>
      <w:r>
        <w:t xml:space="preserve"> </w:t>
      </w:r>
      <w:proofErr w:type="gramStart"/>
      <w:r>
        <w:t xml:space="preserve">Testimony of </w:t>
      </w:r>
      <w:r>
        <w:rPr>
          <w:rFonts w:cstheme="minorHAnsi"/>
          <w:sz w:val="18"/>
          <w:szCs w:val="18"/>
        </w:rPr>
        <w:t>Kohen, 11-Feb-16 pgs.</w:t>
      </w:r>
      <w:proofErr w:type="gramEnd"/>
      <w:r>
        <w:rPr>
          <w:rFonts w:cstheme="minorHAnsi"/>
          <w:sz w:val="18"/>
          <w:szCs w:val="18"/>
        </w:rPr>
        <w:t xml:space="preserve"> 179-180</w:t>
      </w:r>
    </w:p>
  </w:footnote>
  <w:footnote w:id="28">
    <w:p w:rsidR="0062131B" w:rsidRDefault="0062131B" w:rsidP="00CE6048">
      <w:pPr>
        <w:pStyle w:val="FootnoteText"/>
      </w:pPr>
      <w:r>
        <w:rPr>
          <w:rStyle w:val="FootnoteReference"/>
        </w:rPr>
        <w:footnoteRef/>
      </w:r>
      <w:r>
        <w:t xml:space="preserve"> </w:t>
      </w:r>
      <w:r w:rsidRPr="001F251B">
        <w:t xml:space="preserve">Closing submissions of the applicant, para: </w:t>
      </w:r>
      <w:r>
        <w:t>75-77</w:t>
      </w:r>
    </w:p>
  </w:footnote>
  <w:footnote w:id="29">
    <w:p w:rsidR="0062131B" w:rsidRPr="001F251B" w:rsidRDefault="0062131B" w:rsidP="00834886">
      <w:pPr>
        <w:pStyle w:val="FootnoteText"/>
      </w:pPr>
      <w:r w:rsidRPr="001F251B">
        <w:rPr>
          <w:rStyle w:val="FootnoteReference"/>
        </w:rPr>
        <w:footnoteRef/>
      </w:r>
      <w:r w:rsidRPr="001F251B">
        <w:t xml:space="preserve"> Closing submissions of the applicant, para: 13 (Testimony of Flindall, </w:t>
      </w:r>
      <w:r w:rsidRPr="001F251B">
        <w:rPr>
          <w:rFonts w:cstheme="minorHAnsi"/>
        </w:rPr>
        <w:t>2-Sep-16 pgs. 19-20, 139-140)</w:t>
      </w:r>
    </w:p>
  </w:footnote>
  <w:footnote w:id="30">
    <w:p w:rsidR="0062131B" w:rsidRPr="001F251B" w:rsidRDefault="0062131B" w:rsidP="00334D13">
      <w:pPr>
        <w:pStyle w:val="FootnoteText"/>
      </w:pPr>
      <w:r w:rsidRPr="001F251B">
        <w:rPr>
          <w:rStyle w:val="FootnoteReference"/>
        </w:rPr>
        <w:footnoteRef/>
      </w:r>
      <w:r w:rsidRPr="001F251B">
        <w:t xml:space="preserve"> Closing submissions of the applicant, para: 13, 41 (Testimony of </w:t>
      </w:r>
      <w:r w:rsidRPr="001F251B">
        <w:rPr>
          <w:rFonts w:cstheme="minorHAnsi"/>
        </w:rPr>
        <w:t xml:space="preserve">Duignan, 8-Feb-16 pg. </w:t>
      </w:r>
      <w:r>
        <w:rPr>
          <w:rFonts w:cstheme="minorHAnsi"/>
        </w:rPr>
        <w:t>173-</w:t>
      </w:r>
      <w:r w:rsidRPr="001F251B">
        <w:rPr>
          <w:rFonts w:cstheme="minorHAnsi"/>
        </w:rPr>
        <w:t>175)</w:t>
      </w:r>
    </w:p>
  </w:footnote>
  <w:footnote w:id="31">
    <w:p w:rsidR="0062131B" w:rsidRPr="001F251B" w:rsidRDefault="0062131B" w:rsidP="00D624DF">
      <w:pPr>
        <w:pStyle w:val="FootnoteText"/>
      </w:pPr>
      <w:r w:rsidRPr="001F251B">
        <w:rPr>
          <w:rStyle w:val="FootnoteReference"/>
        </w:rPr>
        <w:footnoteRef/>
      </w:r>
      <w:r w:rsidRPr="001F251B">
        <w:t xml:space="preserve"> Closing submissions of the applicant, para: 41 (Testimony of </w:t>
      </w:r>
      <w:r w:rsidRPr="001F251B">
        <w:rPr>
          <w:rFonts w:cstheme="minorHAnsi"/>
        </w:rPr>
        <w:t>Postma, 10-Feb-16 pg. 13)</w:t>
      </w:r>
    </w:p>
  </w:footnote>
  <w:footnote w:id="32">
    <w:p w:rsidR="0062131B" w:rsidRPr="001F251B" w:rsidRDefault="0062131B" w:rsidP="00FA1821">
      <w:pPr>
        <w:pStyle w:val="FootnoteText"/>
      </w:pPr>
      <w:r w:rsidRPr="001F251B">
        <w:rPr>
          <w:rStyle w:val="FootnoteReference"/>
        </w:rPr>
        <w:footnoteRef/>
      </w:r>
      <w:r w:rsidRPr="001F251B">
        <w:t xml:space="preserve"> </w:t>
      </w:r>
      <w:r w:rsidRPr="001F251B">
        <w:rPr>
          <w:rFonts w:cstheme="minorHAnsi"/>
        </w:rPr>
        <w:t xml:space="preserve">Exhibit 92, p. 68, </w:t>
      </w:r>
      <w:r w:rsidRPr="001F251B">
        <w:t xml:space="preserve">(Testimony of </w:t>
      </w:r>
      <w:r w:rsidRPr="001F251B">
        <w:rPr>
          <w:rFonts w:cstheme="minorHAnsi"/>
        </w:rPr>
        <w:t>Jack, 22-Sep-15 pgs. 63-65)</w:t>
      </w:r>
    </w:p>
  </w:footnote>
  <w:footnote w:id="33">
    <w:p w:rsidR="0062131B" w:rsidRPr="001F251B" w:rsidRDefault="0062131B" w:rsidP="00A13E6D">
      <w:pPr>
        <w:pStyle w:val="FootnoteText"/>
      </w:pPr>
      <w:r w:rsidRPr="001F251B">
        <w:rPr>
          <w:rStyle w:val="FootnoteReference"/>
        </w:rPr>
        <w:footnoteRef/>
      </w:r>
      <w:r w:rsidRPr="001F251B">
        <w:t xml:space="preserve"> </w:t>
      </w:r>
      <w:r w:rsidR="000A4E91" w:rsidRPr="004967F7">
        <w:rPr>
          <w:i/>
        </w:rPr>
        <w:t>Shaw v. Phipps, 2012 ONCA 155</w:t>
      </w:r>
      <w:r w:rsidR="000A4E91">
        <w:t xml:space="preserve">; </w:t>
      </w:r>
      <w:hyperlink w:history="1">
        <w:r w:rsidRPr="001F251B">
          <w:rPr>
            <w:rStyle w:val="Hyperlink"/>
          </w:rPr>
          <w:t>www.racisminopp.org/michael_documents_tribunal.html</w:t>
        </w:r>
      </w:hyperlink>
    </w:p>
  </w:footnote>
  <w:footnote w:id="34">
    <w:p w:rsidR="0062131B" w:rsidRPr="001F251B" w:rsidRDefault="0062131B" w:rsidP="002637FB">
      <w:pPr>
        <w:pStyle w:val="FootnoteText"/>
      </w:pPr>
      <w:r w:rsidRPr="001F251B">
        <w:rPr>
          <w:rStyle w:val="FootnoteReference"/>
        </w:rPr>
        <w:footnoteRef/>
      </w:r>
      <w:r w:rsidRPr="001F251B">
        <w:t xml:space="preserve"> Closing submissions of the applicant, para: 114-116</w:t>
      </w:r>
    </w:p>
  </w:footnote>
  <w:footnote w:id="35">
    <w:p w:rsidR="0062131B" w:rsidRPr="001F251B" w:rsidRDefault="0062131B" w:rsidP="008209EF">
      <w:pPr>
        <w:pStyle w:val="FootnoteText"/>
      </w:pPr>
      <w:r w:rsidRPr="001F251B">
        <w:rPr>
          <w:rStyle w:val="FootnoteReference"/>
        </w:rPr>
        <w:footnoteRef/>
      </w:r>
      <w:r w:rsidRPr="001F251B">
        <w:t xml:space="preserve"> Closing submissions of the applicant, para: 114-116</w:t>
      </w:r>
    </w:p>
  </w:footnote>
  <w:footnote w:id="36">
    <w:p w:rsidR="0062131B" w:rsidRPr="001F251B" w:rsidRDefault="0062131B" w:rsidP="008209EF">
      <w:pPr>
        <w:pStyle w:val="FootnoteText"/>
      </w:pPr>
      <w:r w:rsidRPr="001F251B">
        <w:rPr>
          <w:rStyle w:val="FootnoteReference"/>
        </w:rPr>
        <w:footnoteRef/>
      </w:r>
      <w:r w:rsidRPr="001F251B">
        <w:t xml:space="preserve"> Closing submissions of the applicant, para: 114-116</w:t>
      </w:r>
    </w:p>
  </w:footnote>
  <w:footnote w:id="37">
    <w:p w:rsidR="0062131B" w:rsidRPr="001F251B" w:rsidRDefault="0062131B" w:rsidP="0080361A">
      <w:pPr>
        <w:pStyle w:val="FootnoteText"/>
      </w:pPr>
      <w:r w:rsidRPr="001F251B">
        <w:rPr>
          <w:rStyle w:val="FootnoteReference"/>
        </w:rPr>
        <w:footnoteRef/>
      </w:r>
      <w:r w:rsidRPr="001F251B">
        <w:t xml:space="preserve"> Exhibit 127</w:t>
      </w:r>
    </w:p>
  </w:footnote>
  <w:footnote w:id="38">
    <w:p w:rsidR="0062131B" w:rsidRPr="001F251B" w:rsidRDefault="0062131B" w:rsidP="008573D0">
      <w:pPr>
        <w:pStyle w:val="FootnoteText"/>
      </w:pPr>
      <w:r w:rsidRPr="001F251B">
        <w:rPr>
          <w:rStyle w:val="FootnoteReference"/>
        </w:rPr>
        <w:footnoteRef/>
      </w:r>
      <w:r w:rsidRPr="001F251B">
        <w:t xml:space="preserve"> Closing submissions of the applicant, para: 114-116</w:t>
      </w:r>
    </w:p>
  </w:footnote>
  <w:footnote w:id="39">
    <w:p w:rsidR="0062131B" w:rsidRPr="00D7781F" w:rsidRDefault="0062131B">
      <w:pPr>
        <w:pStyle w:val="FootnoteText"/>
      </w:pPr>
      <w:r w:rsidRPr="00D7781F">
        <w:rPr>
          <w:rStyle w:val="FootnoteReference"/>
        </w:rPr>
        <w:footnoteRef/>
      </w:r>
      <w:r w:rsidRPr="00D7781F">
        <w:t xml:space="preserve"> </w:t>
      </w:r>
      <w:hyperlink r:id="rId1" w:history="1">
        <w:r w:rsidRPr="00D7781F">
          <w:rPr>
            <w:rStyle w:val="Hyperlink"/>
          </w:rPr>
          <w:t>www.racisminopp.org</w:t>
        </w:r>
      </w:hyperlink>
      <w:r w:rsidRPr="00D7781F">
        <w:t xml:space="preserve"> </w:t>
      </w:r>
    </w:p>
  </w:footnote>
  <w:footnote w:id="40">
    <w:p w:rsidR="0062131B" w:rsidRDefault="0062131B" w:rsidP="00D7781F">
      <w:pPr>
        <w:pStyle w:val="FootnoteText"/>
      </w:pPr>
      <w:r w:rsidRPr="00D7781F">
        <w:rPr>
          <w:rStyle w:val="FootnoteReference"/>
        </w:rPr>
        <w:footnoteRef/>
      </w:r>
      <w:r w:rsidRPr="00D7781F">
        <w:t xml:space="preserve"> Closing submissions of the applicant</w:t>
      </w:r>
    </w:p>
  </w:footnote>
  <w:footnote w:id="41">
    <w:p w:rsidR="0062131B" w:rsidRDefault="0062131B">
      <w:pPr>
        <w:pStyle w:val="FootnoteText"/>
      </w:pPr>
      <w:r>
        <w:rPr>
          <w:rStyle w:val="FootnoteReference"/>
        </w:rPr>
        <w:footnoteRef/>
      </w:r>
      <w:r>
        <w:t xml:space="preserve"> List of tendered exhibits; </w:t>
      </w:r>
      <w:hyperlink r:id="rId2" w:anchor="28" w:history="1">
        <w:r w:rsidRPr="00722C19">
          <w:rPr>
            <w:rStyle w:val="Hyperlink"/>
          </w:rPr>
          <w:t>www.racisminopp.org/michael_documents_tribunal.html#28</w:t>
        </w:r>
      </w:hyperlink>
      <w:r>
        <w:t xml:space="preserve"> </w:t>
      </w:r>
    </w:p>
  </w:footnote>
  <w:footnote w:id="42">
    <w:p w:rsidR="0062131B" w:rsidRDefault="0062131B" w:rsidP="0092525C">
      <w:pPr>
        <w:pStyle w:val="FootnoteText"/>
      </w:pPr>
      <w:r w:rsidRPr="00E51136">
        <w:rPr>
          <w:rStyle w:val="FootnoteReference"/>
        </w:rPr>
        <w:footnoteRef/>
      </w:r>
      <w:r w:rsidRPr="00E51136">
        <w:t xml:space="preserve"> Closing submissions of the applicant, para: 95 (</w:t>
      </w:r>
      <w:r w:rsidRPr="00E51136">
        <w:rPr>
          <w:rFonts w:cstheme="minorHAnsi"/>
        </w:rPr>
        <w:t>Exhibits 99)</w:t>
      </w:r>
    </w:p>
  </w:footnote>
  <w:footnote w:id="43">
    <w:p w:rsidR="0062131B" w:rsidRPr="001F251B" w:rsidRDefault="0062131B" w:rsidP="00504342">
      <w:pPr>
        <w:pStyle w:val="FootnoteText"/>
      </w:pPr>
      <w:r w:rsidRPr="001F251B">
        <w:rPr>
          <w:rStyle w:val="FootnoteReference"/>
        </w:rPr>
        <w:footnoteRef/>
      </w:r>
      <w:r w:rsidRPr="001F251B">
        <w:t xml:space="preserve"> Closing submissions of the applicant, para: 5-6 (Ontario’s Human Rights Code</w:t>
      </w:r>
      <w:r>
        <w:t>-</w:t>
      </w:r>
      <w:r w:rsidRPr="001F251B">
        <w:t>Racism &amp; Racial Discrimination Brochure)</w:t>
      </w:r>
    </w:p>
  </w:footnote>
  <w:footnote w:id="44">
    <w:p w:rsidR="0062131B" w:rsidRPr="001F251B" w:rsidRDefault="0062131B" w:rsidP="00504342">
      <w:pPr>
        <w:pStyle w:val="FootnoteText"/>
      </w:pPr>
      <w:r w:rsidRPr="001F251B">
        <w:rPr>
          <w:rStyle w:val="FootnoteReference"/>
        </w:rPr>
        <w:footnoteRef/>
      </w:r>
      <w:r w:rsidRPr="001F251B">
        <w:t xml:space="preserve"> Closing submissions of the applicant, para: 43, 109</w:t>
      </w:r>
      <w:r>
        <w:t>, 125</w:t>
      </w:r>
    </w:p>
  </w:footnote>
  <w:footnote w:id="45">
    <w:p w:rsidR="0062131B" w:rsidRDefault="0062131B" w:rsidP="00504342">
      <w:pPr>
        <w:pStyle w:val="FootnoteText"/>
      </w:pPr>
      <w:r>
        <w:rPr>
          <w:rStyle w:val="FootnoteReference"/>
        </w:rPr>
        <w:footnoteRef/>
      </w:r>
      <w:r>
        <w:t xml:space="preserve"> </w:t>
      </w:r>
      <w:r w:rsidRPr="00E51136">
        <w:t>Closing submissions of the applicant, para: 95 (</w:t>
      </w:r>
      <w:r w:rsidRPr="00E51136">
        <w:rPr>
          <w:rFonts w:cstheme="minorHAnsi"/>
        </w:rPr>
        <w:t>Exhibits 99)</w:t>
      </w:r>
      <w:r>
        <w:rPr>
          <w:rFonts w:cstheme="minorHAnsi"/>
        </w:rPr>
        <w:t xml:space="preserve">; Testimony of Duignan, 8-Feb-16 </w:t>
      </w:r>
      <w:proofErr w:type="spellStart"/>
      <w:r>
        <w:rPr>
          <w:rFonts w:cstheme="minorHAnsi"/>
        </w:rPr>
        <w:t>pgs</w:t>
      </w:r>
      <w:proofErr w:type="spellEnd"/>
      <w:r>
        <w:rPr>
          <w:rFonts w:cstheme="minorHAnsi"/>
        </w:rPr>
        <w:t>: 167, 169</w:t>
      </w:r>
    </w:p>
  </w:footnote>
  <w:footnote w:id="46">
    <w:p w:rsidR="0062131B" w:rsidRPr="00D7781F" w:rsidRDefault="0062131B" w:rsidP="005311F1">
      <w:pPr>
        <w:pStyle w:val="FootnoteText"/>
      </w:pPr>
      <w:r w:rsidRPr="00D7781F">
        <w:rPr>
          <w:rStyle w:val="FootnoteReference"/>
        </w:rPr>
        <w:footnoteRef/>
      </w:r>
      <w:r w:rsidRPr="00D7781F">
        <w:t xml:space="preserve"> </w:t>
      </w:r>
      <w:proofErr w:type="gramStart"/>
      <w:r w:rsidRPr="00D7781F">
        <w:t xml:space="preserve">Exhibits 1, 3, 4, 5, 9, 12, 15, </w:t>
      </w:r>
      <w:r w:rsidRPr="00D7781F">
        <w:rPr>
          <w:rFonts w:cstheme="minorHAnsi"/>
        </w:rPr>
        <w:t>92 pgs.</w:t>
      </w:r>
      <w:proofErr w:type="gramEnd"/>
      <w:r w:rsidRPr="00D7781F">
        <w:rPr>
          <w:rFonts w:cstheme="minorHAnsi"/>
        </w:rPr>
        <w:t xml:space="preserve"> 1-2; </w:t>
      </w:r>
      <w:hyperlink w:history="1">
        <w:r w:rsidRPr="00D7781F">
          <w:rPr>
            <w:rStyle w:val="Hyperlink"/>
            <w:rFonts w:cstheme="minorHAnsi"/>
          </w:rPr>
          <w:t>www.racisminopp.org/michael_documents_personal.html#2</w:t>
        </w:r>
      </w:hyperlink>
      <w:r w:rsidRPr="00D7781F">
        <w:rPr>
          <w:rFonts w:cstheme="minorHAnsi"/>
        </w:rPr>
        <w:t xml:space="preserve"> </w:t>
      </w:r>
    </w:p>
  </w:footnote>
  <w:footnote w:id="47">
    <w:p w:rsidR="0062131B" w:rsidRDefault="0062131B" w:rsidP="005311F1">
      <w:pPr>
        <w:pStyle w:val="FootnoteText"/>
      </w:pPr>
      <w:r>
        <w:rPr>
          <w:rStyle w:val="FootnoteReference"/>
        </w:rPr>
        <w:footnoteRef/>
      </w:r>
      <w:r>
        <w:t xml:space="preserve"> Testimony of the applicant and Will-say of Sgt. </w:t>
      </w:r>
      <w:proofErr w:type="spellStart"/>
      <w:r>
        <w:t>Morphet</w:t>
      </w:r>
      <w:proofErr w:type="spellEnd"/>
    </w:p>
  </w:footnote>
  <w:footnote w:id="48">
    <w:p w:rsidR="0062131B" w:rsidRDefault="0062131B">
      <w:pPr>
        <w:pStyle w:val="FootnoteText"/>
      </w:pPr>
      <w:r>
        <w:rPr>
          <w:rStyle w:val="FootnoteReference"/>
        </w:rPr>
        <w:footnoteRef/>
      </w:r>
      <w:r>
        <w:t xml:space="preserve"> Testimony of Greco, </w:t>
      </w:r>
      <w:r w:rsidRPr="00BE2301">
        <w:t>10-Feb-16 pg. 65 lines 1-6.</w:t>
      </w:r>
    </w:p>
  </w:footnote>
  <w:footnote w:id="49">
    <w:p w:rsidR="0062131B" w:rsidRDefault="0062131B" w:rsidP="00BE2301">
      <w:pPr>
        <w:pStyle w:val="FootnoteText"/>
      </w:pPr>
      <w:r>
        <w:rPr>
          <w:rStyle w:val="FootnoteReference"/>
        </w:rPr>
        <w:footnoteRef/>
      </w:r>
      <w:r>
        <w:t xml:space="preserve"> Testimony of Greco, </w:t>
      </w:r>
      <w:r w:rsidRPr="00BE2301">
        <w:t>10-Feb-16 pg. 6</w:t>
      </w:r>
      <w:r>
        <w:t>2</w:t>
      </w:r>
      <w:r w:rsidRPr="00BE2301">
        <w:t xml:space="preserve"> lines </w:t>
      </w:r>
      <w:r>
        <w:t>19-23</w:t>
      </w:r>
      <w:r w:rsidRPr="00BE2301">
        <w:t>.</w:t>
      </w:r>
    </w:p>
  </w:footnote>
  <w:footnote w:id="50">
    <w:p w:rsidR="0062131B" w:rsidRDefault="0062131B" w:rsidP="00BE2301">
      <w:pPr>
        <w:pStyle w:val="FootnoteText"/>
      </w:pPr>
      <w:r>
        <w:rPr>
          <w:rStyle w:val="FootnoteReference"/>
        </w:rPr>
        <w:footnoteRef/>
      </w:r>
      <w:r>
        <w:t xml:space="preserve"> Testimony of Greco, </w:t>
      </w:r>
      <w:r w:rsidRPr="00BE2301">
        <w:t xml:space="preserve">10-Feb-16 pg. </w:t>
      </w:r>
      <w:r>
        <w:t>74</w:t>
      </w:r>
      <w:r w:rsidRPr="00BE2301">
        <w:t xml:space="preserve"> lines </w:t>
      </w:r>
      <w:r>
        <w:t>1-9</w:t>
      </w:r>
    </w:p>
  </w:footnote>
  <w:footnote w:id="51">
    <w:p w:rsidR="0062131B" w:rsidRDefault="0062131B" w:rsidP="00BE2301">
      <w:pPr>
        <w:pStyle w:val="FootnoteText"/>
      </w:pPr>
      <w:r>
        <w:rPr>
          <w:rStyle w:val="FootnoteReference"/>
        </w:rPr>
        <w:footnoteRef/>
      </w:r>
      <w:r>
        <w:t xml:space="preserve"> Testimony of Greco, </w:t>
      </w:r>
      <w:r w:rsidRPr="00BE2301">
        <w:t xml:space="preserve">10-Feb-16 pg. </w:t>
      </w:r>
      <w:r>
        <w:t>86</w:t>
      </w:r>
      <w:r w:rsidRPr="00BE2301">
        <w:t xml:space="preserve"> lines </w:t>
      </w:r>
      <w:r>
        <w:t>12-16</w:t>
      </w:r>
    </w:p>
  </w:footnote>
  <w:footnote w:id="52">
    <w:p w:rsidR="0062131B" w:rsidRDefault="0062131B" w:rsidP="00BE2301">
      <w:pPr>
        <w:pStyle w:val="FootnoteText"/>
      </w:pPr>
      <w:r>
        <w:rPr>
          <w:rStyle w:val="FootnoteReference"/>
        </w:rPr>
        <w:footnoteRef/>
      </w:r>
      <w:r>
        <w:t xml:space="preserve"> Testimony of Greco, </w:t>
      </w:r>
      <w:r w:rsidRPr="00BE2301">
        <w:t xml:space="preserve">10-Feb-16 pg. </w:t>
      </w:r>
      <w:r>
        <w:t>66</w:t>
      </w:r>
      <w:r w:rsidRPr="00BE2301">
        <w:t xml:space="preserve"> lines </w:t>
      </w:r>
      <w:r>
        <w:t>19-24</w:t>
      </w:r>
    </w:p>
  </w:footnote>
  <w:footnote w:id="53">
    <w:p w:rsidR="0062131B" w:rsidRDefault="0062131B" w:rsidP="00BE2301">
      <w:pPr>
        <w:pStyle w:val="FootnoteText"/>
      </w:pPr>
      <w:r>
        <w:rPr>
          <w:rStyle w:val="FootnoteReference"/>
        </w:rPr>
        <w:footnoteRef/>
      </w:r>
      <w:r>
        <w:t xml:space="preserve"> Testimony of Greco, </w:t>
      </w:r>
      <w:r w:rsidRPr="00BE2301">
        <w:t xml:space="preserve">10-Feb-16 pg. </w:t>
      </w:r>
      <w:r>
        <w:t>85</w:t>
      </w:r>
      <w:r w:rsidRPr="00BE2301">
        <w:t xml:space="preserve"> lines </w:t>
      </w:r>
      <w:r>
        <w:t>1-10</w:t>
      </w:r>
    </w:p>
  </w:footnote>
  <w:footnote w:id="54">
    <w:p w:rsidR="0062131B" w:rsidRDefault="0062131B" w:rsidP="00BE2301">
      <w:pPr>
        <w:pStyle w:val="FootnoteText"/>
      </w:pPr>
      <w:r>
        <w:rPr>
          <w:rStyle w:val="FootnoteReference"/>
        </w:rPr>
        <w:footnoteRef/>
      </w:r>
      <w:r>
        <w:t xml:space="preserve"> Testimony of Greco, </w:t>
      </w:r>
      <w:r w:rsidRPr="00BE2301">
        <w:t xml:space="preserve">10-Feb-16 pg. </w:t>
      </w:r>
      <w:r>
        <w:t>85</w:t>
      </w:r>
      <w:r w:rsidRPr="00BE2301">
        <w:t xml:space="preserve"> lines </w:t>
      </w:r>
      <w:r>
        <w:t>23-24</w:t>
      </w:r>
    </w:p>
  </w:footnote>
  <w:footnote w:id="55">
    <w:p w:rsidR="0062131B" w:rsidRDefault="0062131B" w:rsidP="00BE2301">
      <w:pPr>
        <w:pStyle w:val="FootnoteText"/>
      </w:pPr>
      <w:r>
        <w:rPr>
          <w:rStyle w:val="FootnoteReference"/>
        </w:rPr>
        <w:footnoteRef/>
      </w:r>
      <w:r>
        <w:t xml:space="preserve"> Testimony of Greco, </w:t>
      </w:r>
      <w:r w:rsidRPr="00BE2301">
        <w:t xml:space="preserve">10-Feb-16 pg. </w:t>
      </w:r>
      <w:r>
        <w:t>86</w:t>
      </w:r>
      <w:r w:rsidRPr="00BE2301">
        <w:t xml:space="preserve"> line</w:t>
      </w:r>
      <w:r>
        <w:t xml:space="preserve"> 9 to pg. 87 line 13</w:t>
      </w:r>
    </w:p>
  </w:footnote>
  <w:footnote w:id="56">
    <w:p w:rsidR="0062131B" w:rsidRDefault="0062131B" w:rsidP="00AD25D6">
      <w:pPr>
        <w:pStyle w:val="FootnoteText"/>
      </w:pPr>
      <w:r>
        <w:rPr>
          <w:rStyle w:val="FootnoteReference"/>
        </w:rPr>
        <w:footnoteRef/>
      </w:r>
      <w:r>
        <w:t xml:space="preserve"> Applicant’s reply to Respondent’s closing submissions, para: 20; Exhibit 125 p. 1</w:t>
      </w:r>
    </w:p>
  </w:footnote>
  <w:footnote w:id="57">
    <w:p w:rsidR="00CD14D0" w:rsidRDefault="00CD14D0">
      <w:pPr>
        <w:pStyle w:val="FootnoteText"/>
      </w:pPr>
      <w:r>
        <w:rPr>
          <w:rStyle w:val="FootnoteReference"/>
        </w:rPr>
        <w:footnoteRef/>
      </w:r>
      <w:r>
        <w:t xml:space="preserve"> </w:t>
      </w:r>
      <w:proofErr w:type="spellStart"/>
      <w:proofErr w:type="gramStart"/>
      <w:r w:rsidRPr="004967F7">
        <w:rPr>
          <w:i/>
        </w:rPr>
        <w:t>Audmax</w:t>
      </w:r>
      <w:proofErr w:type="spellEnd"/>
      <w:r w:rsidRPr="004967F7">
        <w:rPr>
          <w:i/>
        </w:rPr>
        <w:t xml:space="preserve"> Inc. v. Ontario Human Rights Tribunal, 2011 ONSC 315</w:t>
      </w:r>
      <w:r>
        <w:t>, para.</w:t>
      </w:r>
      <w:proofErr w:type="gramEnd"/>
      <w:r>
        <w:t xml:space="preserve"> 103</w:t>
      </w:r>
    </w:p>
  </w:footnote>
  <w:footnote w:id="58">
    <w:p w:rsidR="0038639C" w:rsidRDefault="0038639C">
      <w:pPr>
        <w:pStyle w:val="FootnoteText"/>
      </w:pPr>
      <w:r>
        <w:rPr>
          <w:rStyle w:val="FootnoteReference"/>
        </w:rPr>
        <w:footnoteRef/>
      </w:r>
      <w:r>
        <w:t xml:space="preserve"> </w:t>
      </w:r>
      <w:proofErr w:type="gramStart"/>
      <w:r>
        <w:t>Ibid, para.</w:t>
      </w:r>
      <w:proofErr w:type="gramEnd"/>
      <w:r>
        <w:t xml:space="preserve"> 104</w:t>
      </w:r>
    </w:p>
  </w:footnote>
  <w:footnote w:id="59">
    <w:p w:rsidR="0062131B" w:rsidRDefault="0062131B">
      <w:pPr>
        <w:pStyle w:val="FootnoteText"/>
      </w:pPr>
      <w:r>
        <w:rPr>
          <w:rStyle w:val="FootnoteReference"/>
        </w:rPr>
        <w:footnoteRef/>
      </w:r>
      <w:r>
        <w:t xml:space="preserve"> Applicant’s closing submissions para. 44-47</w:t>
      </w:r>
    </w:p>
  </w:footnote>
  <w:footnote w:id="60">
    <w:p w:rsidR="0062131B" w:rsidRDefault="0062131B">
      <w:pPr>
        <w:pStyle w:val="FootnoteText"/>
      </w:pPr>
      <w:r>
        <w:rPr>
          <w:rStyle w:val="FootnoteReference"/>
        </w:rPr>
        <w:footnoteRef/>
      </w:r>
      <w:r>
        <w:t xml:space="preserve"> Applicant’s reply to Respondent’s closing submissions para. 89 to 105</w:t>
      </w:r>
    </w:p>
  </w:footnote>
  <w:footnote w:id="61">
    <w:p w:rsidR="0062131B" w:rsidRDefault="0062131B">
      <w:pPr>
        <w:pStyle w:val="FootnoteText"/>
      </w:pPr>
      <w:r>
        <w:rPr>
          <w:rStyle w:val="FootnoteReference"/>
        </w:rPr>
        <w:footnoteRef/>
      </w:r>
      <w:r>
        <w:t xml:space="preserve"> </w:t>
      </w:r>
      <w:r w:rsidRPr="0062131B">
        <w:t>Exhibits: 34, 40, 52, 63, 66</w:t>
      </w:r>
      <w:r>
        <w:t xml:space="preserve">; </w:t>
      </w:r>
      <w:hyperlink r:id="rId3" w:anchor="4" w:history="1">
        <w:r w:rsidRPr="00722C19">
          <w:rPr>
            <w:rStyle w:val="Hyperlink"/>
          </w:rPr>
          <w:t>www.racisminopp.org/michael_documents_personal.html#4</w:t>
        </w:r>
      </w:hyperlink>
      <w:r>
        <w:t xml:space="preserve"> </w:t>
      </w:r>
    </w:p>
  </w:footnote>
  <w:footnote w:id="62">
    <w:p w:rsidR="00EE58D0" w:rsidRDefault="00EE58D0">
      <w:pPr>
        <w:pStyle w:val="FootnoteText"/>
      </w:pPr>
      <w:r>
        <w:rPr>
          <w:rStyle w:val="FootnoteReference"/>
        </w:rPr>
        <w:footnoteRef/>
      </w:r>
      <w:r>
        <w:t xml:space="preserve"> </w:t>
      </w:r>
      <w:r w:rsidRPr="001F251B">
        <w:t>Closing submissions of the applicant, p</w:t>
      </w:r>
      <w:r>
        <w:t>ara: 124</w:t>
      </w:r>
    </w:p>
  </w:footnote>
  <w:footnote w:id="63">
    <w:p w:rsidR="00EE58D0" w:rsidRDefault="00EE58D0">
      <w:pPr>
        <w:pStyle w:val="FootnoteText"/>
      </w:pPr>
      <w:r>
        <w:rPr>
          <w:rStyle w:val="FootnoteReference"/>
        </w:rPr>
        <w:footnoteRef/>
      </w:r>
      <w:r>
        <w:t xml:space="preserve"> </w:t>
      </w:r>
      <w:r w:rsidRPr="001F251B">
        <w:t>Closing submissions of the applicant, p</w:t>
      </w:r>
      <w:r>
        <w:t>ara: 125</w:t>
      </w:r>
    </w:p>
  </w:footnote>
  <w:footnote w:id="64">
    <w:p w:rsidR="004A3617" w:rsidRDefault="004A3617">
      <w:pPr>
        <w:pStyle w:val="FootnoteText"/>
      </w:pPr>
      <w:r>
        <w:rPr>
          <w:rStyle w:val="FootnoteReference"/>
        </w:rPr>
        <w:footnoteRef/>
      </w:r>
      <w:r>
        <w:t xml:space="preserve"> </w:t>
      </w:r>
      <w:r w:rsidR="00CA6D94" w:rsidRPr="0040787F">
        <w:t>Closing submission of the applicant 6 Dec 2016 and Applicant’s reply submissions 5 Mar 2017</w:t>
      </w:r>
      <w:r w:rsidR="00CA6D94">
        <w:t xml:space="preserve"> </w:t>
      </w:r>
    </w:p>
  </w:footnote>
  <w:footnote w:id="65">
    <w:p w:rsidR="0062131B" w:rsidRPr="001F251B" w:rsidRDefault="0062131B" w:rsidP="0064350A">
      <w:pPr>
        <w:pStyle w:val="FootnoteText"/>
      </w:pPr>
      <w:r w:rsidRPr="001F251B">
        <w:rPr>
          <w:rStyle w:val="FootnoteReference"/>
        </w:rPr>
        <w:footnoteRef/>
      </w:r>
      <w:r w:rsidRPr="001F251B">
        <w:t xml:space="preserve"> </w:t>
      </w:r>
      <w:proofErr w:type="gramStart"/>
      <w:r w:rsidRPr="001F251B">
        <w:t xml:space="preserve">HRTO decision </w:t>
      </w:r>
      <w:r>
        <w:t>5-Feb</w:t>
      </w:r>
      <w:r w:rsidR="00E47AC6">
        <w:t>-</w:t>
      </w:r>
      <w:r>
        <w:t>18</w:t>
      </w:r>
      <w:r w:rsidR="009147EF">
        <w:t>, para.</w:t>
      </w:r>
      <w:proofErr w:type="gramEnd"/>
      <w:r w:rsidR="009147EF">
        <w:t xml:space="preserve"> 7, line 7 and 8</w:t>
      </w:r>
      <w:r>
        <w:t xml:space="preserve">; </w:t>
      </w:r>
      <w:r w:rsidRPr="001F251B">
        <w:t>Numerous times VC said ‘I am yet t</w:t>
      </w:r>
      <w:r>
        <w:t>o look over or read everything’.</w:t>
      </w:r>
    </w:p>
  </w:footnote>
  <w:footnote w:id="66">
    <w:p w:rsidR="0062131B" w:rsidRPr="001F251B" w:rsidRDefault="0062131B">
      <w:pPr>
        <w:pStyle w:val="FootnoteText"/>
      </w:pPr>
      <w:r w:rsidRPr="001F251B">
        <w:rPr>
          <w:rStyle w:val="FootnoteReference"/>
        </w:rPr>
        <w:footnoteRef/>
      </w:r>
      <w:r w:rsidRPr="001F251B">
        <w:t xml:space="preserve"> </w:t>
      </w:r>
      <w:hyperlink w:history="1">
        <w:r w:rsidRPr="001F251B">
          <w:rPr>
            <w:rStyle w:val="Hyperlink"/>
          </w:rPr>
          <w:t>http://www.racisminopp.org/michael_documents_tribunal.html#28</w:t>
        </w:r>
      </w:hyperlink>
      <w:r w:rsidRPr="001F251B">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31B" w:rsidRDefault="006213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017547"/>
      <w:docPartObj>
        <w:docPartGallery w:val="Page Numbers (Top of Page)"/>
        <w:docPartUnique/>
      </w:docPartObj>
    </w:sdtPr>
    <w:sdtEndPr>
      <w:rPr>
        <w:noProof/>
      </w:rPr>
    </w:sdtEndPr>
    <w:sdtContent>
      <w:p w:rsidR="0062131B" w:rsidRDefault="0062131B">
        <w:pPr>
          <w:pStyle w:val="Header"/>
          <w:jc w:val="right"/>
        </w:pPr>
        <w:r>
          <w:fldChar w:fldCharType="begin"/>
        </w:r>
        <w:r>
          <w:instrText xml:space="preserve"> PAGE   \* MERGEFORMAT </w:instrText>
        </w:r>
        <w:r>
          <w:fldChar w:fldCharType="separate"/>
        </w:r>
        <w:r w:rsidR="00D33B4E">
          <w:rPr>
            <w:noProof/>
          </w:rPr>
          <w:t>14</w:t>
        </w:r>
        <w:r>
          <w:rPr>
            <w:noProof/>
          </w:rPr>
          <w:fldChar w:fldCharType="end"/>
        </w:r>
      </w:p>
    </w:sdtContent>
  </w:sdt>
  <w:p w:rsidR="0062131B" w:rsidRDefault="006213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31B" w:rsidRDefault="006213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04213"/>
    <w:multiLevelType w:val="hybridMultilevel"/>
    <w:tmpl w:val="A1FE3B4A"/>
    <w:lvl w:ilvl="0" w:tplc="E162269C">
      <w:start w:val="1"/>
      <w:numFmt w:val="decimal"/>
      <w:lvlText w:val="%1."/>
      <w:lvlJc w:val="left"/>
      <w:pPr>
        <w:ind w:left="720" w:hanging="360"/>
      </w:pPr>
      <w:rPr>
        <w:rFonts w:hint="default"/>
        <w:b w:val="0"/>
        <w:i w:val="0"/>
      </w:rPr>
    </w:lvl>
    <w:lvl w:ilvl="1" w:tplc="EF6A6472" w:tentative="1">
      <w:start w:val="1"/>
      <w:numFmt w:val="lowerLetter"/>
      <w:lvlText w:val="%2."/>
      <w:lvlJc w:val="left"/>
      <w:pPr>
        <w:ind w:left="1440" w:hanging="360"/>
      </w:pPr>
    </w:lvl>
    <w:lvl w:ilvl="2" w:tplc="C6C4C742" w:tentative="1">
      <w:start w:val="1"/>
      <w:numFmt w:val="lowerRoman"/>
      <w:lvlText w:val="%3."/>
      <w:lvlJc w:val="right"/>
      <w:pPr>
        <w:ind w:left="2160" w:hanging="180"/>
      </w:pPr>
    </w:lvl>
    <w:lvl w:ilvl="3" w:tplc="E63C3E92" w:tentative="1">
      <w:start w:val="1"/>
      <w:numFmt w:val="decimal"/>
      <w:lvlText w:val="%4."/>
      <w:lvlJc w:val="left"/>
      <w:pPr>
        <w:ind w:left="2880" w:hanging="360"/>
      </w:pPr>
    </w:lvl>
    <w:lvl w:ilvl="4" w:tplc="BC1CF614" w:tentative="1">
      <w:start w:val="1"/>
      <w:numFmt w:val="lowerLetter"/>
      <w:lvlText w:val="%5."/>
      <w:lvlJc w:val="left"/>
      <w:pPr>
        <w:ind w:left="3600" w:hanging="360"/>
      </w:pPr>
    </w:lvl>
    <w:lvl w:ilvl="5" w:tplc="1C763EA2" w:tentative="1">
      <w:start w:val="1"/>
      <w:numFmt w:val="lowerRoman"/>
      <w:lvlText w:val="%6."/>
      <w:lvlJc w:val="right"/>
      <w:pPr>
        <w:ind w:left="4320" w:hanging="180"/>
      </w:pPr>
    </w:lvl>
    <w:lvl w:ilvl="6" w:tplc="550AE918" w:tentative="1">
      <w:start w:val="1"/>
      <w:numFmt w:val="decimal"/>
      <w:lvlText w:val="%7."/>
      <w:lvlJc w:val="left"/>
      <w:pPr>
        <w:ind w:left="5040" w:hanging="360"/>
      </w:pPr>
    </w:lvl>
    <w:lvl w:ilvl="7" w:tplc="C860C89C" w:tentative="1">
      <w:start w:val="1"/>
      <w:numFmt w:val="lowerLetter"/>
      <w:lvlText w:val="%8."/>
      <w:lvlJc w:val="left"/>
      <w:pPr>
        <w:ind w:left="5760" w:hanging="360"/>
      </w:pPr>
    </w:lvl>
    <w:lvl w:ilvl="8" w:tplc="9DE4DA92"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85B"/>
    <w:rsid w:val="00010A87"/>
    <w:rsid w:val="00015A34"/>
    <w:rsid w:val="00024F3A"/>
    <w:rsid w:val="0002632F"/>
    <w:rsid w:val="000346B1"/>
    <w:rsid w:val="0004008B"/>
    <w:rsid w:val="000449B1"/>
    <w:rsid w:val="00055106"/>
    <w:rsid w:val="000717BC"/>
    <w:rsid w:val="00086174"/>
    <w:rsid w:val="00091CB1"/>
    <w:rsid w:val="000A4E91"/>
    <w:rsid w:val="000C1854"/>
    <w:rsid w:val="000C2138"/>
    <w:rsid w:val="000D2EB5"/>
    <w:rsid w:val="000E2C21"/>
    <w:rsid w:val="00111D16"/>
    <w:rsid w:val="0018188E"/>
    <w:rsid w:val="001A1645"/>
    <w:rsid w:val="001A7FE0"/>
    <w:rsid w:val="001B415C"/>
    <w:rsid w:val="001E0D59"/>
    <w:rsid w:val="001E2AFE"/>
    <w:rsid w:val="001E3562"/>
    <w:rsid w:val="001F05EC"/>
    <w:rsid w:val="001F251B"/>
    <w:rsid w:val="001F405F"/>
    <w:rsid w:val="00200858"/>
    <w:rsid w:val="00217BFC"/>
    <w:rsid w:val="0023448B"/>
    <w:rsid w:val="002637FB"/>
    <w:rsid w:val="00267196"/>
    <w:rsid w:val="0028383E"/>
    <w:rsid w:val="002915E5"/>
    <w:rsid w:val="00295FDE"/>
    <w:rsid w:val="002A1AE2"/>
    <w:rsid w:val="002A3A49"/>
    <w:rsid w:val="002B18E3"/>
    <w:rsid w:val="002C72A0"/>
    <w:rsid w:val="002D5FB8"/>
    <w:rsid w:val="002F602C"/>
    <w:rsid w:val="003233DE"/>
    <w:rsid w:val="00324C59"/>
    <w:rsid w:val="00333512"/>
    <w:rsid w:val="00334D13"/>
    <w:rsid w:val="0034332A"/>
    <w:rsid w:val="00361AFE"/>
    <w:rsid w:val="00364A7F"/>
    <w:rsid w:val="0038639C"/>
    <w:rsid w:val="0038656C"/>
    <w:rsid w:val="00390C0F"/>
    <w:rsid w:val="003920FF"/>
    <w:rsid w:val="003A10AC"/>
    <w:rsid w:val="003B037C"/>
    <w:rsid w:val="003D6B5C"/>
    <w:rsid w:val="003D76F7"/>
    <w:rsid w:val="0040601E"/>
    <w:rsid w:val="004074AD"/>
    <w:rsid w:val="0040787F"/>
    <w:rsid w:val="00413C5A"/>
    <w:rsid w:val="00433595"/>
    <w:rsid w:val="004348B5"/>
    <w:rsid w:val="00441EB2"/>
    <w:rsid w:val="00460E8E"/>
    <w:rsid w:val="0046522E"/>
    <w:rsid w:val="00467EC3"/>
    <w:rsid w:val="004967F7"/>
    <w:rsid w:val="004A3617"/>
    <w:rsid w:val="004C4839"/>
    <w:rsid w:val="004C6A89"/>
    <w:rsid w:val="004D472E"/>
    <w:rsid w:val="004D7A8A"/>
    <w:rsid w:val="004E7E79"/>
    <w:rsid w:val="005041CF"/>
    <w:rsid w:val="00504342"/>
    <w:rsid w:val="0050456A"/>
    <w:rsid w:val="0050720D"/>
    <w:rsid w:val="005107B9"/>
    <w:rsid w:val="00516FA6"/>
    <w:rsid w:val="005311F1"/>
    <w:rsid w:val="00550917"/>
    <w:rsid w:val="00552C7A"/>
    <w:rsid w:val="005A2D81"/>
    <w:rsid w:val="005B0E07"/>
    <w:rsid w:val="005C0E47"/>
    <w:rsid w:val="005D1AD5"/>
    <w:rsid w:val="005E3542"/>
    <w:rsid w:val="005F09B8"/>
    <w:rsid w:val="00614019"/>
    <w:rsid w:val="0062131B"/>
    <w:rsid w:val="00634CEC"/>
    <w:rsid w:val="0064350A"/>
    <w:rsid w:val="00643AB3"/>
    <w:rsid w:val="0065008A"/>
    <w:rsid w:val="006725B4"/>
    <w:rsid w:val="00674EE8"/>
    <w:rsid w:val="00686333"/>
    <w:rsid w:val="0069336E"/>
    <w:rsid w:val="00693EFE"/>
    <w:rsid w:val="00695A52"/>
    <w:rsid w:val="006A1479"/>
    <w:rsid w:val="006A424F"/>
    <w:rsid w:val="006B178B"/>
    <w:rsid w:val="006B616C"/>
    <w:rsid w:val="006C28C3"/>
    <w:rsid w:val="006D388C"/>
    <w:rsid w:val="006E2D5D"/>
    <w:rsid w:val="006F1B7C"/>
    <w:rsid w:val="00700FBC"/>
    <w:rsid w:val="0070143C"/>
    <w:rsid w:val="00704EC4"/>
    <w:rsid w:val="0073685E"/>
    <w:rsid w:val="0074622C"/>
    <w:rsid w:val="0075185B"/>
    <w:rsid w:val="007801AB"/>
    <w:rsid w:val="00787A9D"/>
    <w:rsid w:val="007A4D8F"/>
    <w:rsid w:val="007D6F8F"/>
    <w:rsid w:val="007E4864"/>
    <w:rsid w:val="0080361A"/>
    <w:rsid w:val="008054E9"/>
    <w:rsid w:val="00815BF9"/>
    <w:rsid w:val="008209EF"/>
    <w:rsid w:val="00825520"/>
    <w:rsid w:val="00834886"/>
    <w:rsid w:val="00836416"/>
    <w:rsid w:val="00846758"/>
    <w:rsid w:val="00855259"/>
    <w:rsid w:val="008573D0"/>
    <w:rsid w:val="00860D4D"/>
    <w:rsid w:val="00871AD5"/>
    <w:rsid w:val="008B00E1"/>
    <w:rsid w:val="008D5FBF"/>
    <w:rsid w:val="008D6EE5"/>
    <w:rsid w:val="008D7C40"/>
    <w:rsid w:val="008E4D96"/>
    <w:rsid w:val="009147EF"/>
    <w:rsid w:val="0091769E"/>
    <w:rsid w:val="009247A7"/>
    <w:rsid w:val="0092525C"/>
    <w:rsid w:val="00933A4B"/>
    <w:rsid w:val="00941A22"/>
    <w:rsid w:val="00941F84"/>
    <w:rsid w:val="00955A3B"/>
    <w:rsid w:val="00972AA3"/>
    <w:rsid w:val="00987B9C"/>
    <w:rsid w:val="009C64C3"/>
    <w:rsid w:val="009E273B"/>
    <w:rsid w:val="009F1B99"/>
    <w:rsid w:val="00A049E5"/>
    <w:rsid w:val="00A13E6D"/>
    <w:rsid w:val="00A26024"/>
    <w:rsid w:val="00A30933"/>
    <w:rsid w:val="00A56C4B"/>
    <w:rsid w:val="00A61C9B"/>
    <w:rsid w:val="00A65259"/>
    <w:rsid w:val="00A74BFC"/>
    <w:rsid w:val="00A855A2"/>
    <w:rsid w:val="00AA0D70"/>
    <w:rsid w:val="00AC1A96"/>
    <w:rsid w:val="00AD25D6"/>
    <w:rsid w:val="00AD54E7"/>
    <w:rsid w:val="00AE1CC8"/>
    <w:rsid w:val="00B024BD"/>
    <w:rsid w:val="00B34ABA"/>
    <w:rsid w:val="00B51354"/>
    <w:rsid w:val="00B516C0"/>
    <w:rsid w:val="00B64C6D"/>
    <w:rsid w:val="00B71E3D"/>
    <w:rsid w:val="00B82F59"/>
    <w:rsid w:val="00B92FF7"/>
    <w:rsid w:val="00BA625B"/>
    <w:rsid w:val="00BA641D"/>
    <w:rsid w:val="00BC7840"/>
    <w:rsid w:val="00BD22DB"/>
    <w:rsid w:val="00BE2301"/>
    <w:rsid w:val="00C12681"/>
    <w:rsid w:val="00C21BA2"/>
    <w:rsid w:val="00C37F84"/>
    <w:rsid w:val="00C6675C"/>
    <w:rsid w:val="00C77D18"/>
    <w:rsid w:val="00C80831"/>
    <w:rsid w:val="00C85E30"/>
    <w:rsid w:val="00C94C32"/>
    <w:rsid w:val="00C9539A"/>
    <w:rsid w:val="00C979EE"/>
    <w:rsid w:val="00CA4CA1"/>
    <w:rsid w:val="00CA6D94"/>
    <w:rsid w:val="00CB2973"/>
    <w:rsid w:val="00CB7FE4"/>
    <w:rsid w:val="00CC24C2"/>
    <w:rsid w:val="00CD14D0"/>
    <w:rsid w:val="00CD729E"/>
    <w:rsid w:val="00CE6048"/>
    <w:rsid w:val="00CF2F26"/>
    <w:rsid w:val="00D317A1"/>
    <w:rsid w:val="00D33B4E"/>
    <w:rsid w:val="00D47238"/>
    <w:rsid w:val="00D624DF"/>
    <w:rsid w:val="00D7781F"/>
    <w:rsid w:val="00D94F2B"/>
    <w:rsid w:val="00DA30D3"/>
    <w:rsid w:val="00DA50AD"/>
    <w:rsid w:val="00DB43D1"/>
    <w:rsid w:val="00DB55D4"/>
    <w:rsid w:val="00DC6388"/>
    <w:rsid w:val="00DE2BA0"/>
    <w:rsid w:val="00DE4364"/>
    <w:rsid w:val="00DE454C"/>
    <w:rsid w:val="00DF381B"/>
    <w:rsid w:val="00DF39FD"/>
    <w:rsid w:val="00E23C72"/>
    <w:rsid w:val="00E24043"/>
    <w:rsid w:val="00E3202B"/>
    <w:rsid w:val="00E35048"/>
    <w:rsid w:val="00E42EEF"/>
    <w:rsid w:val="00E47AC6"/>
    <w:rsid w:val="00E50C6B"/>
    <w:rsid w:val="00E50D1E"/>
    <w:rsid w:val="00E51136"/>
    <w:rsid w:val="00E51CCB"/>
    <w:rsid w:val="00E664FA"/>
    <w:rsid w:val="00E7303B"/>
    <w:rsid w:val="00EA2738"/>
    <w:rsid w:val="00EA4423"/>
    <w:rsid w:val="00EC6491"/>
    <w:rsid w:val="00EE58D0"/>
    <w:rsid w:val="00EF3B20"/>
    <w:rsid w:val="00F00485"/>
    <w:rsid w:val="00F053D0"/>
    <w:rsid w:val="00F102D1"/>
    <w:rsid w:val="00F21BFF"/>
    <w:rsid w:val="00F5408A"/>
    <w:rsid w:val="00F577AB"/>
    <w:rsid w:val="00F76069"/>
    <w:rsid w:val="00F80B0B"/>
    <w:rsid w:val="00F91243"/>
    <w:rsid w:val="00F948EE"/>
    <w:rsid w:val="00FA1821"/>
    <w:rsid w:val="00FA2A5D"/>
    <w:rsid w:val="00FB00F4"/>
    <w:rsid w:val="00FB6CB4"/>
    <w:rsid w:val="00FB7088"/>
    <w:rsid w:val="00FB7968"/>
    <w:rsid w:val="00FD5527"/>
    <w:rsid w:val="00FE4A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656C"/>
    <w:rPr>
      <w:color w:val="0000FF" w:themeColor="hyperlink"/>
      <w:u w:val="single"/>
    </w:rPr>
  </w:style>
  <w:style w:type="character" w:styleId="FollowedHyperlink">
    <w:name w:val="FollowedHyperlink"/>
    <w:basedOn w:val="DefaultParagraphFont"/>
    <w:uiPriority w:val="99"/>
    <w:semiHidden/>
    <w:unhideWhenUsed/>
    <w:rsid w:val="0038656C"/>
    <w:rPr>
      <w:color w:val="800080" w:themeColor="followedHyperlink"/>
      <w:u w:val="single"/>
    </w:rPr>
  </w:style>
  <w:style w:type="paragraph" w:styleId="ListParagraph">
    <w:name w:val="List Paragraph"/>
    <w:basedOn w:val="Normal"/>
    <w:uiPriority w:val="34"/>
    <w:qFormat/>
    <w:rsid w:val="00C77D18"/>
    <w:pPr>
      <w:ind w:left="720"/>
      <w:contextualSpacing/>
    </w:pPr>
  </w:style>
  <w:style w:type="paragraph" w:styleId="FootnoteText">
    <w:name w:val="footnote text"/>
    <w:basedOn w:val="Normal"/>
    <w:link w:val="FootnoteTextChar"/>
    <w:uiPriority w:val="99"/>
    <w:semiHidden/>
    <w:unhideWhenUsed/>
    <w:rsid w:val="00C77D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7D18"/>
    <w:rPr>
      <w:sz w:val="20"/>
      <w:szCs w:val="20"/>
    </w:rPr>
  </w:style>
  <w:style w:type="character" w:styleId="FootnoteReference">
    <w:name w:val="footnote reference"/>
    <w:basedOn w:val="DefaultParagraphFont"/>
    <w:uiPriority w:val="99"/>
    <w:semiHidden/>
    <w:unhideWhenUsed/>
    <w:rsid w:val="00C77D18"/>
    <w:rPr>
      <w:vertAlign w:val="superscript"/>
    </w:rPr>
  </w:style>
  <w:style w:type="paragraph" w:styleId="Header">
    <w:name w:val="header"/>
    <w:basedOn w:val="Normal"/>
    <w:link w:val="HeaderChar"/>
    <w:uiPriority w:val="99"/>
    <w:unhideWhenUsed/>
    <w:rsid w:val="00B64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C6D"/>
  </w:style>
  <w:style w:type="paragraph" w:styleId="Footer">
    <w:name w:val="footer"/>
    <w:basedOn w:val="Normal"/>
    <w:link w:val="FooterChar"/>
    <w:uiPriority w:val="99"/>
    <w:unhideWhenUsed/>
    <w:rsid w:val="00B64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C6D"/>
  </w:style>
  <w:style w:type="paragraph" w:styleId="EndnoteText">
    <w:name w:val="endnote text"/>
    <w:basedOn w:val="Normal"/>
    <w:link w:val="EndnoteTextChar"/>
    <w:uiPriority w:val="99"/>
    <w:semiHidden/>
    <w:unhideWhenUsed/>
    <w:rsid w:val="004652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522E"/>
    <w:rPr>
      <w:sz w:val="20"/>
      <w:szCs w:val="20"/>
    </w:rPr>
  </w:style>
  <w:style w:type="character" w:styleId="EndnoteReference">
    <w:name w:val="endnote reference"/>
    <w:basedOn w:val="DefaultParagraphFont"/>
    <w:uiPriority w:val="99"/>
    <w:semiHidden/>
    <w:unhideWhenUsed/>
    <w:rsid w:val="0046522E"/>
    <w:rPr>
      <w:vertAlign w:val="superscript"/>
    </w:rPr>
  </w:style>
  <w:style w:type="paragraph" w:styleId="BalloonText">
    <w:name w:val="Balloon Text"/>
    <w:basedOn w:val="Normal"/>
    <w:link w:val="BalloonTextChar"/>
    <w:uiPriority w:val="99"/>
    <w:semiHidden/>
    <w:unhideWhenUsed/>
    <w:rsid w:val="003B0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3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656C"/>
    <w:rPr>
      <w:color w:val="0000FF" w:themeColor="hyperlink"/>
      <w:u w:val="single"/>
    </w:rPr>
  </w:style>
  <w:style w:type="character" w:styleId="FollowedHyperlink">
    <w:name w:val="FollowedHyperlink"/>
    <w:basedOn w:val="DefaultParagraphFont"/>
    <w:uiPriority w:val="99"/>
    <w:semiHidden/>
    <w:unhideWhenUsed/>
    <w:rsid w:val="0038656C"/>
    <w:rPr>
      <w:color w:val="800080" w:themeColor="followedHyperlink"/>
      <w:u w:val="single"/>
    </w:rPr>
  </w:style>
  <w:style w:type="paragraph" w:styleId="ListParagraph">
    <w:name w:val="List Paragraph"/>
    <w:basedOn w:val="Normal"/>
    <w:uiPriority w:val="34"/>
    <w:qFormat/>
    <w:rsid w:val="00C77D18"/>
    <w:pPr>
      <w:ind w:left="720"/>
      <w:contextualSpacing/>
    </w:pPr>
  </w:style>
  <w:style w:type="paragraph" w:styleId="FootnoteText">
    <w:name w:val="footnote text"/>
    <w:basedOn w:val="Normal"/>
    <w:link w:val="FootnoteTextChar"/>
    <w:uiPriority w:val="99"/>
    <w:semiHidden/>
    <w:unhideWhenUsed/>
    <w:rsid w:val="00C77D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7D18"/>
    <w:rPr>
      <w:sz w:val="20"/>
      <w:szCs w:val="20"/>
    </w:rPr>
  </w:style>
  <w:style w:type="character" w:styleId="FootnoteReference">
    <w:name w:val="footnote reference"/>
    <w:basedOn w:val="DefaultParagraphFont"/>
    <w:uiPriority w:val="99"/>
    <w:semiHidden/>
    <w:unhideWhenUsed/>
    <w:rsid w:val="00C77D18"/>
    <w:rPr>
      <w:vertAlign w:val="superscript"/>
    </w:rPr>
  </w:style>
  <w:style w:type="paragraph" w:styleId="Header">
    <w:name w:val="header"/>
    <w:basedOn w:val="Normal"/>
    <w:link w:val="HeaderChar"/>
    <w:uiPriority w:val="99"/>
    <w:unhideWhenUsed/>
    <w:rsid w:val="00B64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C6D"/>
  </w:style>
  <w:style w:type="paragraph" w:styleId="Footer">
    <w:name w:val="footer"/>
    <w:basedOn w:val="Normal"/>
    <w:link w:val="FooterChar"/>
    <w:uiPriority w:val="99"/>
    <w:unhideWhenUsed/>
    <w:rsid w:val="00B64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C6D"/>
  </w:style>
  <w:style w:type="paragraph" w:styleId="EndnoteText">
    <w:name w:val="endnote text"/>
    <w:basedOn w:val="Normal"/>
    <w:link w:val="EndnoteTextChar"/>
    <w:uiPriority w:val="99"/>
    <w:semiHidden/>
    <w:unhideWhenUsed/>
    <w:rsid w:val="004652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522E"/>
    <w:rPr>
      <w:sz w:val="20"/>
      <w:szCs w:val="20"/>
    </w:rPr>
  </w:style>
  <w:style w:type="character" w:styleId="EndnoteReference">
    <w:name w:val="endnote reference"/>
    <w:basedOn w:val="DefaultParagraphFont"/>
    <w:uiPriority w:val="99"/>
    <w:semiHidden/>
    <w:unhideWhenUsed/>
    <w:rsid w:val="0046522E"/>
    <w:rPr>
      <w:vertAlign w:val="superscript"/>
    </w:rPr>
  </w:style>
  <w:style w:type="paragraph" w:styleId="BalloonText">
    <w:name w:val="Balloon Text"/>
    <w:basedOn w:val="Normal"/>
    <w:link w:val="BalloonTextChar"/>
    <w:uiPriority w:val="99"/>
    <w:semiHidden/>
    <w:unhideWhenUsed/>
    <w:rsid w:val="003B0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3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racisminopp.org/michael_documents_personal.html" TargetMode="External"/><Relationship Id="rId2" Type="http://schemas.openxmlformats.org/officeDocument/2006/relationships/hyperlink" Target="http://www.racisminopp.org/michael_documents_tribunal.html" TargetMode="External"/><Relationship Id="rId1" Type="http://schemas.openxmlformats.org/officeDocument/2006/relationships/hyperlink" Target="http://www.racisminop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557B6-4023-4229-8204-1A70517E2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15</Pages>
  <Words>4841</Words>
  <Characters>27596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56</cp:revision>
  <cp:lastPrinted>2018-03-01T17:40:00Z</cp:lastPrinted>
  <dcterms:created xsi:type="dcterms:W3CDTF">2018-02-27T05:53:00Z</dcterms:created>
  <dcterms:modified xsi:type="dcterms:W3CDTF">2018-03-01T17:59:00Z</dcterms:modified>
</cp:coreProperties>
</file>